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0A6" w:rsidRPr="00777C31" w:rsidRDefault="00A430A6" w:rsidP="00777C31">
      <w:pPr>
        <w:shd w:val="clear" w:color="auto" w:fill="FFFFFF" w:themeFill="background1"/>
        <w:jc w:val="center"/>
        <w:rPr>
          <w:rFonts w:ascii="Times New Roman" w:hAnsi="Times New Roman" w:cs="Times New Roman"/>
          <w:b/>
        </w:rPr>
      </w:pPr>
      <w:r w:rsidRPr="00777C31">
        <w:rPr>
          <w:rFonts w:ascii="Times New Roman" w:hAnsi="Times New Roman" w:cs="Times New Roman"/>
          <w:b/>
        </w:rPr>
        <w:t>UNIDAD III</w:t>
      </w:r>
    </w:p>
    <w:p w:rsidR="00A430A6" w:rsidRPr="00777C31" w:rsidRDefault="00A430A6" w:rsidP="00777C31">
      <w:pPr>
        <w:shd w:val="clear" w:color="auto" w:fill="FFFFFF" w:themeFill="background1"/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86"/>
        <w:gridCol w:w="1144"/>
        <w:gridCol w:w="4413"/>
        <w:gridCol w:w="3278"/>
        <w:gridCol w:w="3275"/>
      </w:tblGrid>
      <w:tr w:rsidR="00A430A6" w:rsidRPr="00777C31" w:rsidTr="00777C31">
        <w:trPr>
          <w:tblHeader/>
        </w:trPr>
        <w:tc>
          <w:tcPr>
            <w:tcW w:w="341" w:type="pct"/>
            <w:shd w:val="clear" w:color="auto" w:fill="FFFFFF" w:themeFill="background1"/>
          </w:tcPr>
          <w:p w:rsidR="00A430A6" w:rsidRPr="00777C31" w:rsidRDefault="00A430A6" w:rsidP="00777C3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C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Clase </w:t>
            </w:r>
          </w:p>
        </w:tc>
        <w:tc>
          <w:tcPr>
            <w:tcW w:w="440" w:type="pct"/>
            <w:shd w:val="clear" w:color="auto" w:fill="FFFFFF" w:themeFill="background1"/>
          </w:tcPr>
          <w:p w:rsidR="00A430A6" w:rsidRPr="00777C31" w:rsidRDefault="00A430A6" w:rsidP="00777C3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C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Fecha </w:t>
            </w:r>
          </w:p>
        </w:tc>
        <w:tc>
          <w:tcPr>
            <w:tcW w:w="1698" w:type="pct"/>
            <w:shd w:val="clear" w:color="auto" w:fill="FFFFFF" w:themeFill="background1"/>
          </w:tcPr>
          <w:p w:rsidR="00A430A6" w:rsidRPr="00777C31" w:rsidRDefault="00A430A6" w:rsidP="00777C3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C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Materia </w:t>
            </w:r>
          </w:p>
        </w:tc>
        <w:tc>
          <w:tcPr>
            <w:tcW w:w="1261" w:type="pct"/>
            <w:shd w:val="clear" w:color="auto" w:fill="FFFFFF" w:themeFill="background1"/>
          </w:tcPr>
          <w:p w:rsidR="00A430A6" w:rsidRPr="00777C31" w:rsidRDefault="00A430A6" w:rsidP="00777C3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C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Lecturas </w:t>
            </w:r>
          </w:p>
        </w:tc>
        <w:tc>
          <w:tcPr>
            <w:tcW w:w="1260" w:type="pct"/>
            <w:shd w:val="clear" w:color="auto" w:fill="FFFFFF" w:themeFill="background1"/>
          </w:tcPr>
          <w:p w:rsidR="00A430A6" w:rsidRPr="00777C31" w:rsidRDefault="00A430A6" w:rsidP="00777C3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C31">
              <w:rPr>
                <w:rFonts w:ascii="Times New Roman" w:hAnsi="Times New Roman" w:cs="Times New Roman"/>
                <w:b/>
                <w:sz w:val="20"/>
                <w:szCs w:val="20"/>
              </w:rPr>
              <w:t>Complementarias</w:t>
            </w:r>
          </w:p>
        </w:tc>
      </w:tr>
      <w:tr w:rsidR="00A430A6" w:rsidRPr="00777C31" w:rsidTr="00777C31">
        <w:tc>
          <w:tcPr>
            <w:tcW w:w="341" w:type="pct"/>
            <w:shd w:val="clear" w:color="auto" w:fill="FFFFFF" w:themeFill="background1"/>
          </w:tcPr>
          <w:p w:rsidR="00A430A6" w:rsidRPr="00777C31" w:rsidRDefault="00A430A6" w:rsidP="00777C3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77C3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40" w:type="pct"/>
            <w:shd w:val="clear" w:color="auto" w:fill="FFFFFF" w:themeFill="background1"/>
          </w:tcPr>
          <w:p w:rsidR="00A430A6" w:rsidRPr="00777C31" w:rsidRDefault="00A430A6" w:rsidP="00777C3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77C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829D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77C31">
              <w:rPr>
                <w:rFonts w:ascii="Times New Roman" w:hAnsi="Times New Roman" w:cs="Times New Roman"/>
                <w:sz w:val="20"/>
                <w:szCs w:val="20"/>
              </w:rPr>
              <w:t xml:space="preserve"> de abril</w:t>
            </w:r>
          </w:p>
        </w:tc>
        <w:tc>
          <w:tcPr>
            <w:tcW w:w="1698" w:type="pct"/>
            <w:shd w:val="clear" w:color="auto" w:fill="FFFFFF" w:themeFill="background1"/>
          </w:tcPr>
          <w:p w:rsidR="00A430A6" w:rsidRPr="00777C31" w:rsidRDefault="00A430A6" w:rsidP="00777C31">
            <w:pPr>
              <w:shd w:val="clear" w:color="auto" w:fill="FFFFFF" w:themeFill="background1"/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7C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Sistema Normativo de la Administración Fuentes del Derecho Administrativo:</w:t>
            </w:r>
          </w:p>
          <w:p w:rsidR="00A430A6" w:rsidRPr="00777C31" w:rsidRDefault="00A430A6" w:rsidP="00777C3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77C31">
              <w:rPr>
                <w:rFonts w:ascii="Times New Roman" w:hAnsi="Times New Roman" w:cs="Times New Roman"/>
                <w:sz w:val="20"/>
                <w:szCs w:val="20"/>
              </w:rPr>
              <w:t>Constitución</w:t>
            </w:r>
          </w:p>
          <w:p w:rsidR="00A430A6" w:rsidRPr="00777C31" w:rsidRDefault="00A430A6" w:rsidP="00777C3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77C31">
              <w:rPr>
                <w:rFonts w:ascii="Times New Roman" w:hAnsi="Times New Roman" w:cs="Times New Roman"/>
                <w:sz w:val="20"/>
                <w:szCs w:val="20"/>
              </w:rPr>
              <w:t xml:space="preserve">Ley  </w:t>
            </w:r>
          </w:p>
          <w:p w:rsidR="00F829DD" w:rsidRDefault="00A430A6" w:rsidP="00F829DD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7C31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F829DD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777C31">
              <w:rPr>
                <w:rFonts w:ascii="Times New Roman" w:hAnsi="Times New Roman" w:cs="Times New Roman"/>
                <w:sz w:val="20"/>
                <w:szCs w:val="20"/>
              </w:rPr>
              <w:t>atados Internacionales</w:t>
            </w:r>
          </w:p>
          <w:p w:rsidR="00F829DD" w:rsidRPr="00F829DD" w:rsidRDefault="00F829DD" w:rsidP="00F829DD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29DD">
              <w:rPr>
                <w:rFonts w:ascii="Times New Roman" w:hAnsi="Times New Roman" w:cs="Times New Roman"/>
                <w:sz w:val="20"/>
                <w:szCs w:val="20"/>
              </w:rPr>
              <w:t>Decretos con Fuerza de Ley</w:t>
            </w:r>
          </w:p>
          <w:p w:rsidR="00F829DD" w:rsidRPr="00F829DD" w:rsidRDefault="00F829DD" w:rsidP="00F829D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829DD">
              <w:rPr>
                <w:rFonts w:ascii="Times New Roman" w:hAnsi="Times New Roman" w:cs="Times New Roman"/>
                <w:sz w:val="20"/>
                <w:szCs w:val="20"/>
              </w:rPr>
              <w:t>Decretos Ley</w:t>
            </w:r>
          </w:p>
          <w:p w:rsidR="00F829DD" w:rsidRPr="00F829DD" w:rsidRDefault="00F829DD" w:rsidP="00F829D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829DD">
              <w:rPr>
                <w:rFonts w:ascii="Times New Roman" w:hAnsi="Times New Roman" w:cs="Times New Roman"/>
                <w:sz w:val="20"/>
                <w:szCs w:val="20"/>
              </w:rPr>
              <w:t>Decretos</w:t>
            </w:r>
          </w:p>
          <w:p w:rsidR="00F829DD" w:rsidRPr="00777C31" w:rsidRDefault="00F829DD" w:rsidP="00F829DD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F829DD">
              <w:rPr>
                <w:rFonts w:ascii="Times New Roman" w:hAnsi="Times New Roman" w:cs="Times New Roman"/>
                <w:sz w:val="20"/>
                <w:szCs w:val="20"/>
              </w:rPr>
              <w:t>Ultra Actividad</w:t>
            </w:r>
            <w:proofErr w:type="gramEnd"/>
          </w:p>
        </w:tc>
        <w:tc>
          <w:tcPr>
            <w:tcW w:w="1261" w:type="pct"/>
            <w:shd w:val="clear" w:color="auto" w:fill="FFFFFF" w:themeFill="background1"/>
          </w:tcPr>
          <w:p w:rsidR="00A430A6" w:rsidRDefault="00A430A6" w:rsidP="00777C3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77C31">
              <w:rPr>
                <w:rFonts w:ascii="Times New Roman" w:hAnsi="Times New Roman" w:cs="Times New Roman"/>
                <w:sz w:val="20"/>
                <w:szCs w:val="20"/>
              </w:rPr>
              <w:t>Silva Cima, Fuentes del Derecho Administrativo, p. 75 a 122</w:t>
            </w:r>
          </w:p>
          <w:p w:rsidR="00171A04" w:rsidRDefault="00171A04" w:rsidP="00777C3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A04" w:rsidRPr="00777C31" w:rsidRDefault="00171A04" w:rsidP="00777C3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Nash, Claudio, Recepción de los Tratados Internacionales, p. 53 a 83. </w:t>
            </w:r>
            <w:bookmarkStart w:id="0" w:name="_GoBack"/>
            <w:bookmarkEnd w:id="0"/>
          </w:p>
        </w:tc>
        <w:tc>
          <w:tcPr>
            <w:tcW w:w="1260" w:type="pct"/>
            <w:shd w:val="clear" w:color="auto" w:fill="FFFFFF" w:themeFill="background1"/>
          </w:tcPr>
          <w:p w:rsidR="00A430A6" w:rsidRPr="00777C31" w:rsidRDefault="00A430A6" w:rsidP="00777C3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77C31">
              <w:rPr>
                <w:rFonts w:ascii="Times New Roman" w:hAnsi="Times New Roman" w:cs="Times New Roman"/>
                <w:sz w:val="20"/>
                <w:szCs w:val="20"/>
              </w:rPr>
              <w:t>Cordero, La potestad legislativa, los tipos de ley y sus relaciones internas en el derecho nacional</w:t>
            </w:r>
          </w:p>
          <w:p w:rsidR="00A430A6" w:rsidRPr="00777C31" w:rsidRDefault="00A430A6" w:rsidP="00777C3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30A6" w:rsidRPr="00777C31" w:rsidRDefault="00A430A6" w:rsidP="00777C3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77C31">
              <w:rPr>
                <w:rFonts w:ascii="Times New Roman" w:hAnsi="Times New Roman" w:cs="Times New Roman"/>
                <w:sz w:val="20"/>
                <w:szCs w:val="20"/>
              </w:rPr>
              <w:t xml:space="preserve">Rosa Gómez, Rol e importancia de las leyes de </w:t>
            </w:r>
            <w:proofErr w:type="gramStart"/>
            <w:r w:rsidRPr="00777C31">
              <w:rPr>
                <w:rFonts w:ascii="Times New Roman" w:hAnsi="Times New Roman" w:cs="Times New Roman"/>
                <w:sz w:val="20"/>
                <w:szCs w:val="20"/>
              </w:rPr>
              <w:t>bases  en</w:t>
            </w:r>
            <w:proofErr w:type="gramEnd"/>
            <w:r w:rsidRPr="00777C31">
              <w:rPr>
                <w:rFonts w:ascii="Times New Roman" w:hAnsi="Times New Roman" w:cs="Times New Roman"/>
                <w:sz w:val="20"/>
                <w:szCs w:val="20"/>
              </w:rPr>
              <w:t xml:space="preserve"> el Derecho Administrativo chileno</w:t>
            </w:r>
          </w:p>
        </w:tc>
      </w:tr>
      <w:tr w:rsidR="00A430A6" w:rsidRPr="00777C31" w:rsidTr="00777C31">
        <w:trPr>
          <w:trHeight w:val="906"/>
        </w:trPr>
        <w:tc>
          <w:tcPr>
            <w:tcW w:w="341" w:type="pct"/>
            <w:shd w:val="clear" w:color="auto" w:fill="FFFFFF" w:themeFill="background1"/>
          </w:tcPr>
          <w:p w:rsidR="00A430A6" w:rsidRPr="00777C31" w:rsidRDefault="00A430A6" w:rsidP="00777C3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77C31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440" w:type="pct"/>
            <w:shd w:val="clear" w:color="auto" w:fill="FFFFFF" w:themeFill="background1"/>
          </w:tcPr>
          <w:p w:rsidR="00A430A6" w:rsidRPr="00777C31" w:rsidRDefault="00A430A6" w:rsidP="00777C3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77C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829D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77C31">
              <w:rPr>
                <w:rFonts w:ascii="Times New Roman" w:hAnsi="Times New Roman" w:cs="Times New Roman"/>
                <w:sz w:val="20"/>
                <w:szCs w:val="20"/>
              </w:rPr>
              <w:t xml:space="preserve"> de abril </w:t>
            </w:r>
          </w:p>
        </w:tc>
        <w:tc>
          <w:tcPr>
            <w:tcW w:w="1698" w:type="pct"/>
            <w:shd w:val="clear" w:color="auto" w:fill="FFFFFF" w:themeFill="background1"/>
          </w:tcPr>
          <w:p w:rsidR="00A430A6" w:rsidRPr="00777C31" w:rsidRDefault="00A430A6" w:rsidP="00777C3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C31">
              <w:rPr>
                <w:rFonts w:ascii="Times New Roman" w:hAnsi="Times New Roman" w:cs="Times New Roman"/>
                <w:b/>
                <w:sz w:val="20"/>
                <w:szCs w:val="20"/>
              </w:rPr>
              <w:t>Sistema Normativo de la Administración Fuentes del Derecho Administrativo:</w:t>
            </w:r>
          </w:p>
          <w:p w:rsidR="00A430A6" w:rsidRPr="00777C31" w:rsidRDefault="00A430A6" w:rsidP="00777C3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30A6" w:rsidRPr="00777C31" w:rsidRDefault="00A430A6" w:rsidP="00777C3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77C31">
              <w:rPr>
                <w:rFonts w:ascii="Times New Roman" w:hAnsi="Times New Roman" w:cs="Times New Roman"/>
                <w:sz w:val="20"/>
                <w:szCs w:val="20"/>
              </w:rPr>
              <w:t>Potestad Reglamentaria:</w:t>
            </w:r>
          </w:p>
          <w:p w:rsidR="00A430A6" w:rsidRPr="00777C31" w:rsidRDefault="00A430A6" w:rsidP="00777C3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30A6" w:rsidRPr="00777C31" w:rsidRDefault="00A430A6" w:rsidP="00777C31">
            <w:pPr>
              <w:pStyle w:val="Prrafodelista"/>
              <w:numPr>
                <w:ilvl w:val="0"/>
                <w:numId w:val="2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77C31">
              <w:rPr>
                <w:rFonts w:ascii="Times New Roman" w:hAnsi="Times New Roman" w:cs="Times New Roman"/>
                <w:sz w:val="20"/>
                <w:szCs w:val="20"/>
              </w:rPr>
              <w:t>Concepto y tipos: de ejecución y autónoma</w:t>
            </w:r>
          </w:p>
          <w:p w:rsidR="00A430A6" w:rsidRPr="00777C31" w:rsidRDefault="00A430A6" w:rsidP="00777C31">
            <w:pPr>
              <w:pStyle w:val="Prrafodelista"/>
              <w:numPr>
                <w:ilvl w:val="0"/>
                <w:numId w:val="2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77C31">
              <w:rPr>
                <w:rFonts w:ascii="Times New Roman" w:hAnsi="Times New Roman" w:cs="Times New Roman"/>
                <w:sz w:val="20"/>
                <w:szCs w:val="20"/>
              </w:rPr>
              <w:t>Antecedente normativo</w:t>
            </w:r>
          </w:p>
          <w:p w:rsidR="00A430A6" w:rsidRPr="00777C31" w:rsidRDefault="00A430A6" w:rsidP="00777C31">
            <w:pPr>
              <w:pStyle w:val="Prrafodelista"/>
              <w:numPr>
                <w:ilvl w:val="0"/>
                <w:numId w:val="2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77C31">
              <w:rPr>
                <w:rFonts w:ascii="Times New Roman" w:hAnsi="Times New Roman" w:cs="Times New Roman"/>
                <w:sz w:val="20"/>
                <w:szCs w:val="20"/>
              </w:rPr>
              <w:t>Fundamento jurídico</w:t>
            </w:r>
          </w:p>
          <w:p w:rsidR="00A430A6" w:rsidRPr="00777C31" w:rsidRDefault="00A430A6" w:rsidP="00777C31">
            <w:pPr>
              <w:pStyle w:val="Prrafodelista"/>
              <w:numPr>
                <w:ilvl w:val="0"/>
                <w:numId w:val="2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77C31">
              <w:rPr>
                <w:rFonts w:ascii="Times New Roman" w:hAnsi="Times New Roman" w:cs="Times New Roman"/>
                <w:sz w:val="20"/>
                <w:szCs w:val="20"/>
              </w:rPr>
              <w:t>Reserva absoluta y reserva relativa</w:t>
            </w:r>
          </w:p>
          <w:p w:rsidR="00A430A6" w:rsidRPr="00777C31" w:rsidRDefault="00A430A6" w:rsidP="00777C31">
            <w:pPr>
              <w:pStyle w:val="Prrafodelista"/>
              <w:numPr>
                <w:ilvl w:val="0"/>
                <w:numId w:val="2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77C31">
              <w:rPr>
                <w:rFonts w:ascii="Times New Roman" w:hAnsi="Times New Roman" w:cs="Times New Roman"/>
                <w:sz w:val="20"/>
                <w:szCs w:val="20"/>
              </w:rPr>
              <w:t xml:space="preserve">Validez, vigencia, derogación, inderogabilidad singular e inaplicación. </w:t>
            </w:r>
          </w:p>
          <w:p w:rsidR="00A430A6" w:rsidRPr="00777C31" w:rsidRDefault="00A430A6" w:rsidP="00777C31">
            <w:pPr>
              <w:pStyle w:val="Prrafodelista"/>
              <w:numPr>
                <w:ilvl w:val="0"/>
                <w:numId w:val="2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77C31">
              <w:rPr>
                <w:rFonts w:ascii="Times New Roman" w:hAnsi="Times New Roman" w:cs="Times New Roman"/>
                <w:sz w:val="20"/>
                <w:szCs w:val="20"/>
              </w:rPr>
              <w:t xml:space="preserve">El control de los reglamentos </w:t>
            </w:r>
          </w:p>
        </w:tc>
        <w:tc>
          <w:tcPr>
            <w:tcW w:w="1261" w:type="pct"/>
            <w:shd w:val="clear" w:color="auto" w:fill="FFFFFF" w:themeFill="background1"/>
          </w:tcPr>
          <w:p w:rsidR="00A430A6" w:rsidRPr="00777C31" w:rsidRDefault="00777C31" w:rsidP="00777C3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C31">
              <w:rPr>
                <w:rFonts w:ascii="Times New Roman" w:hAnsi="Times New Roman" w:cs="Times New Roman"/>
                <w:sz w:val="20"/>
                <w:szCs w:val="20"/>
              </w:rPr>
              <w:t>Bermúdez, Jorge, Manual de Derecho Administrativo, p. 49 – 58</w:t>
            </w:r>
          </w:p>
          <w:p w:rsidR="00777C31" w:rsidRPr="00777C31" w:rsidRDefault="00777C31" w:rsidP="00777C3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C31" w:rsidRPr="00777C31" w:rsidRDefault="00777C31" w:rsidP="00777C3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C31">
              <w:rPr>
                <w:rFonts w:ascii="Times New Roman" w:hAnsi="Times New Roman" w:cs="Times New Roman"/>
                <w:sz w:val="20"/>
                <w:szCs w:val="20"/>
              </w:rPr>
              <w:t xml:space="preserve">Cordero Luis, Lecciones de Derecho Administrativo, p. 142 a 155. </w:t>
            </w:r>
          </w:p>
          <w:p w:rsidR="00777C31" w:rsidRPr="00777C31" w:rsidRDefault="00777C31" w:rsidP="00777C3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C31" w:rsidRPr="00777C31" w:rsidRDefault="00777C31" w:rsidP="00777C3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7C31">
              <w:rPr>
                <w:rFonts w:ascii="Times New Roman" w:hAnsi="Times New Roman" w:cs="Times New Roman"/>
                <w:sz w:val="20"/>
                <w:szCs w:val="20"/>
              </w:rPr>
              <w:t>Guilof</w:t>
            </w:r>
            <w:proofErr w:type="spellEnd"/>
            <w:r w:rsidRPr="00777C31">
              <w:rPr>
                <w:rFonts w:ascii="Times New Roman" w:hAnsi="Times New Roman" w:cs="Times New Roman"/>
                <w:sz w:val="20"/>
                <w:szCs w:val="20"/>
              </w:rPr>
              <w:t xml:space="preserve"> Operativizando la relación ley-reglamento: una propuesta de redefinición del rol de la reserva legal p. 127 a 145. </w:t>
            </w:r>
          </w:p>
          <w:p w:rsidR="00A430A6" w:rsidRPr="00777C31" w:rsidRDefault="00A430A6" w:rsidP="00777C3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30A6" w:rsidRPr="00777C31" w:rsidRDefault="00A430A6" w:rsidP="00777C3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77C31">
              <w:rPr>
                <w:rFonts w:ascii="Times New Roman" w:hAnsi="Times New Roman" w:cs="Times New Roman"/>
                <w:sz w:val="20"/>
                <w:szCs w:val="20"/>
              </w:rPr>
              <w:t>Casos:</w:t>
            </w:r>
          </w:p>
          <w:p w:rsidR="00A430A6" w:rsidRPr="00777C31" w:rsidRDefault="00A430A6" w:rsidP="00777C3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30A6" w:rsidRPr="00777C31" w:rsidRDefault="00A430A6" w:rsidP="00777C31">
            <w:pPr>
              <w:pStyle w:val="Prrafodelista"/>
              <w:numPr>
                <w:ilvl w:val="0"/>
                <w:numId w:val="3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C31">
              <w:rPr>
                <w:rFonts w:ascii="Times New Roman" w:hAnsi="Times New Roman" w:cs="Times New Roman"/>
                <w:sz w:val="20"/>
                <w:szCs w:val="20"/>
              </w:rPr>
              <w:t>Dictamen de objeción de conciencia</w:t>
            </w:r>
            <w:r w:rsidR="006132A8" w:rsidRPr="00777C31">
              <w:rPr>
                <w:rFonts w:ascii="Times New Roman" w:hAnsi="Times New Roman" w:cs="Times New Roman"/>
                <w:sz w:val="20"/>
                <w:szCs w:val="20"/>
              </w:rPr>
              <w:t xml:space="preserve"> (Taller </w:t>
            </w:r>
            <w:proofErr w:type="spellStart"/>
            <w:r w:rsidR="006132A8" w:rsidRPr="00777C31">
              <w:rPr>
                <w:rFonts w:ascii="Times New Roman" w:hAnsi="Times New Roman" w:cs="Times New Roman"/>
                <w:sz w:val="20"/>
                <w:szCs w:val="20"/>
              </w:rPr>
              <w:t>N°</w:t>
            </w:r>
            <w:proofErr w:type="spellEnd"/>
            <w:r w:rsidR="006132A8" w:rsidRPr="00777C31">
              <w:rPr>
                <w:rFonts w:ascii="Times New Roman" w:hAnsi="Times New Roman" w:cs="Times New Roman"/>
                <w:sz w:val="20"/>
                <w:szCs w:val="20"/>
              </w:rPr>
              <w:t xml:space="preserve"> 5)</w:t>
            </w:r>
          </w:p>
          <w:p w:rsidR="00A430A6" w:rsidRPr="00AA2CA5" w:rsidRDefault="00A430A6" w:rsidP="00777C31">
            <w:pPr>
              <w:pStyle w:val="Prrafodelista"/>
              <w:numPr>
                <w:ilvl w:val="0"/>
                <w:numId w:val="3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C31">
              <w:rPr>
                <w:rFonts w:ascii="Times New Roman" w:hAnsi="Times New Roman" w:cs="Times New Roman"/>
                <w:sz w:val="20"/>
                <w:szCs w:val="20"/>
              </w:rPr>
              <w:t>Sentencia del TC sobre objeción de conciencia</w:t>
            </w:r>
            <w:r w:rsidR="006132A8" w:rsidRPr="00777C31">
              <w:rPr>
                <w:rFonts w:ascii="Times New Roman" w:hAnsi="Times New Roman" w:cs="Times New Roman"/>
                <w:sz w:val="20"/>
                <w:szCs w:val="20"/>
              </w:rPr>
              <w:t xml:space="preserve"> (Taller </w:t>
            </w:r>
            <w:proofErr w:type="spellStart"/>
            <w:r w:rsidR="006132A8" w:rsidRPr="00777C31">
              <w:rPr>
                <w:rFonts w:ascii="Times New Roman" w:hAnsi="Times New Roman" w:cs="Times New Roman"/>
                <w:sz w:val="20"/>
                <w:szCs w:val="20"/>
              </w:rPr>
              <w:t>N°</w:t>
            </w:r>
            <w:proofErr w:type="spellEnd"/>
            <w:r w:rsidR="006132A8" w:rsidRPr="00777C31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  <w:r w:rsidR="00C14FDA" w:rsidRPr="00777C31">
              <w:rPr>
                <w:rFonts w:ascii="Times New Roman" w:hAnsi="Times New Roman" w:cs="Times New Roman"/>
                <w:sz w:val="20"/>
                <w:szCs w:val="20"/>
              </w:rPr>
              <w:t xml:space="preserve"> hasta página 25.</w:t>
            </w:r>
            <w:r w:rsidR="006132A8" w:rsidRPr="00777C3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0" w:type="pct"/>
            <w:shd w:val="clear" w:color="auto" w:fill="FFFFFF" w:themeFill="background1"/>
          </w:tcPr>
          <w:p w:rsidR="00777C31" w:rsidRPr="00777C31" w:rsidRDefault="00777C31" w:rsidP="00777C3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7C31">
              <w:rPr>
                <w:rFonts w:ascii="Times New Roman" w:hAnsi="Times New Roman" w:cs="Times New Roman"/>
                <w:sz w:val="20"/>
                <w:szCs w:val="20"/>
              </w:rPr>
              <w:t>Guilof</w:t>
            </w:r>
            <w:proofErr w:type="spellEnd"/>
            <w:r w:rsidRPr="00777C31">
              <w:rPr>
                <w:rFonts w:ascii="Times New Roman" w:hAnsi="Times New Roman" w:cs="Times New Roman"/>
                <w:sz w:val="20"/>
                <w:szCs w:val="20"/>
              </w:rPr>
              <w:t xml:space="preserve"> Operativizando la relación ley-reglamento: una propuesta de redefinición del rol de la reserva legal</w:t>
            </w:r>
          </w:p>
          <w:p w:rsidR="00777C31" w:rsidRPr="00777C31" w:rsidRDefault="00777C31" w:rsidP="00777C3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C31" w:rsidRPr="00777C31" w:rsidRDefault="00777C31" w:rsidP="00777C3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FDA" w:rsidRPr="00777C31" w:rsidRDefault="00C14FDA" w:rsidP="00777C3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C31">
              <w:rPr>
                <w:rFonts w:ascii="Times New Roman" w:hAnsi="Times New Roman" w:cs="Times New Roman"/>
                <w:sz w:val="20"/>
                <w:szCs w:val="20"/>
              </w:rPr>
              <w:t>Cordero, El control judicial del Reglamento</w:t>
            </w:r>
          </w:p>
          <w:p w:rsidR="00C14FDA" w:rsidRPr="00777C31" w:rsidRDefault="00C14FDA" w:rsidP="00777C3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FDA" w:rsidRPr="00777C31" w:rsidRDefault="00C14FDA" w:rsidP="00777C3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C31">
              <w:rPr>
                <w:rFonts w:ascii="Times New Roman" w:hAnsi="Times New Roman" w:cs="Times New Roman"/>
                <w:sz w:val="20"/>
                <w:szCs w:val="20"/>
              </w:rPr>
              <w:t>Cordero, La jurisprudencia administrativa en perspectiva: entre juez activista y legislador positivo</w:t>
            </w:r>
          </w:p>
          <w:p w:rsidR="00C14FDA" w:rsidRPr="00777C31" w:rsidRDefault="00C14FDA" w:rsidP="00777C3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FDA" w:rsidRPr="00777C31" w:rsidRDefault="00C14FDA" w:rsidP="00777C3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C31">
              <w:rPr>
                <w:rFonts w:ascii="Times New Roman" w:hAnsi="Times New Roman" w:cs="Times New Roman"/>
                <w:sz w:val="20"/>
                <w:szCs w:val="20"/>
              </w:rPr>
              <w:t>Cordero, Eduardo El sentido actual del dominio legal y la potestad reglamentaria</w:t>
            </w:r>
          </w:p>
          <w:p w:rsidR="00A430A6" w:rsidRPr="00777C31" w:rsidRDefault="00A430A6" w:rsidP="00777C3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30A6" w:rsidRPr="00777C31" w:rsidTr="00777C31">
        <w:tc>
          <w:tcPr>
            <w:tcW w:w="341" w:type="pct"/>
            <w:shd w:val="clear" w:color="auto" w:fill="FFFFFF" w:themeFill="background1"/>
          </w:tcPr>
          <w:p w:rsidR="00A430A6" w:rsidRPr="00777C31" w:rsidRDefault="00A430A6" w:rsidP="00777C3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77C31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440" w:type="pct"/>
            <w:shd w:val="clear" w:color="auto" w:fill="FFFFFF" w:themeFill="background1"/>
          </w:tcPr>
          <w:p w:rsidR="00A430A6" w:rsidRPr="00777C31" w:rsidRDefault="00A430A6" w:rsidP="00777C3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77C31">
              <w:rPr>
                <w:rFonts w:ascii="Times New Roman" w:hAnsi="Times New Roman" w:cs="Times New Roman"/>
                <w:sz w:val="20"/>
                <w:szCs w:val="20"/>
              </w:rPr>
              <w:t>22 de abril</w:t>
            </w:r>
          </w:p>
        </w:tc>
        <w:tc>
          <w:tcPr>
            <w:tcW w:w="1698" w:type="pct"/>
            <w:shd w:val="clear" w:color="auto" w:fill="FFFFFF" w:themeFill="background1"/>
          </w:tcPr>
          <w:p w:rsidR="00A430A6" w:rsidRPr="00777C31" w:rsidRDefault="00A430A6" w:rsidP="00777C3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C31">
              <w:rPr>
                <w:rFonts w:ascii="Times New Roman" w:hAnsi="Times New Roman" w:cs="Times New Roman"/>
                <w:b/>
                <w:sz w:val="20"/>
                <w:szCs w:val="20"/>
              </w:rPr>
              <w:t>Sistema Normativo de la Administración Fuentes del Derecho Administrativo:</w:t>
            </w:r>
          </w:p>
          <w:p w:rsidR="00A430A6" w:rsidRPr="00777C31" w:rsidRDefault="00A430A6" w:rsidP="00777C3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77C31">
              <w:rPr>
                <w:rFonts w:ascii="Times New Roman" w:hAnsi="Times New Roman" w:cs="Times New Roman"/>
                <w:sz w:val="20"/>
                <w:szCs w:val="20"/>
              </w:rPr>
              <w:t xml:space="preserve">Jurisprudencia </w:t>
            </w:r>
          </w:p>
          <w:p w:rsidR="00A430A6" w:rsidRPr="00777C31" w:rsidRDefault="00A430A6" w:rsidP="00777C3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77C31">
              <w:rPr>
                <w:rFonts w:ascii="Times New Roman" w:hAnsi="Times New Roman" w:cs="Times New Roman"/>
                <w:sz w:val="20"/>
                <w:szCs w:val="20"/>
              </w:rPr>
              <w:t>CGR, Tribunal Constitucional y Corte Suprema</w:t>
            </w:r>
          </w:p>
          <w:p w:rsidR="00A430A6" w:rsidRPr="00777C31" w:rsidRDefault="00A430A6" w:rsidP="00777C3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30A6" w:rsidRPr="00777C31" w:rsidRDefault="00A430A6" w:rsidP="00777C3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C31">
              <w:rPr>
                <w:rFonts w:ascii="Times New Roman" w:hAnsi="Times New Roman" w:cs="Times New Roman"/>
                <w:b/>
                <w:sz w:val="20"/>
                <w:szCs w:val="20"/>
              </w:rPr>
              <w:t>Sistema Normativo de la Administración Fuentes del Derecho Administrativo:</w:t>
            </w:r>
          </w:p>
          <w:p w:rsidR="00A430A6" w:rsidRPr="00777C31" w:rsidRDefault="00A430A6" w:rsidP="00777C3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77C31">
              <w:rPr>
                <w:rFonts w:ascii="Times New Roman" w:hAnsi="Times New Roman" w:cs="Times New Roman"/>
                <w:sz w:val="20"/>
                <w:szCs w:val="20"/>
              </w:rPr>
              <w:t>Potestad normativa de autoridades administrativas</w:t>
            </w:r>
          </w:p>
          <w:p w:rsidR="00A430A6" w:rsidRPr="00777C31" w:rsidRDefault="00A430A6" w:rsidP="00777C3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77C31">
              <w:rPr>
                <w:rFonts w:ascii="Times New Roman" w:hAnsi="Times New Roman" w:cs="Times New Roman"/>
                <w:sz w:val="20"/>
                <w:szCs w:val="20"/>
              </w:rPr>
              <w:t xml:space="preserve">Resolución </w:t>
            </w:r>
          </w:p>
          <w:p w:rsidR="00A430A6" w:rsidRPr="00777C31" w:rsidRDefault="00A430A6" w:rsidP="00777C3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77C31">
              <w:rPr>
                <w:rFonts w:ascii="Times New Roman" w:hAnsi="Times New Roman" w:cs="Times New Roman"/>
                <w:sz w:val="20"/>
                <w:szCs w:val="20"/>
              </w:rPr>
              <w:t>Normas Técnicas</w:t>
            </w:r>
          </w:p>
          <w:p w:rsidR="00A430A6" w:rsidRPr="00777C31" w:rsidRDefault="00A430A6" w:rsidP="00777C3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77C31">
              <w:rPr>
                <w:rFonts w:ascii="Times New Roman" w:hAnsi="Times New Roman" w:cs="Times New Roman"/>
                <w:sz w:val="20"/>
                <w:szCs w:val="20"/>
              </w:rPr>
              <w:t xml:space="preserve">Acuerdos </w:t>
            </w:r>
          </w:p>
          <w:p w:rsidR="00A430A6" w:rsidRPr="00777C31" w:rsidRDefault="00A430A6" w:rsidP="00777C3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77C31">
              <w:rPr>
                <w:rFonts w:ascii="Times New Roman" w:hAnsi="Times New Roman" w:cs="Times New Roman"/>
                <w:sz w:val="20"/>
                <w:szCs w:val="20"/>
              </w:rPr>
              <w:t>Circulares</w:t>
            </w:r>
          </w:p>
          <w:p w:rsidR="00A430A6" w:rsidRPr="00777C31" w:rsidRDefault="00A430A6" w:rsidP="00777C3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77C31">
              <w:rPr>
                <w:rFonts w:ascii="Times New Roman" w:hAnsi="Times New Roman" w:cs="Times New Roman"/>
                <w:sz w:val="20"/>
                <w:szCs w:val="20"/>
              </w:rPr>
              <w:t>Instrucciones</w:t>
            </w:r>
          </w:p>
          <w:p w:rsidR="00A430A6" w:rsidRPr="00777C31" w:rsidRDefault="00A430A6" w:rsidP="00777C3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77C31">
              <w:rPr>
                <w:rFonts w:ascii="Times New Roman" w:hAnsi="Times New Roman" w:cs="Times New Roman"/>
                <w:sz w:val="20"/>
                <w:szCs w:val="20"/>
              </w:rPr>
              <w:t xml:space="preserve">Ordenanzas </w:t>
            </w:r>
          </w:p>
          <w:p w:rsidR="00A430A6" w:rsidRPr="00777C31" w:rsidRDefault="00A430A6" w:rsidP="00777C3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77C31">
              <w:rPr>
                <w:rFonts w:ascii="Times New Roman" w:hAnsi="Times New Roman" w:cs="Times New Roman"/>
                <w:sz w:val="20"/>
                <w:szCs w:val="20"/>
              </w:rPr>
              <w:t>Planes y Programas</w:t>
            </w:r>
          </w:p>
          <w:p w:rsidR="00A430A6" w:rsidRPr="00777C31" w:rsidRDefault="00A430A6" w:rsidP="00777C3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77C31">
              <w:rPr>
                <w:rFonts w:ascii="Times New Roman" w:hAnsi="Times New Roman" w:cs="Times New Roman"/>
                <w:sz w:val="20"/>
                <w:szCs w:val="20"/>
              </w:rPr>
              <w:t>Guías Metodológicas</w:t>
            </w:r>
          </w:p>
        </w:tc>
        <w:tc>
          <w:tcPr>
            <w:tcW w:w="1261" w:type="pct"/>
            <w:shd w:val="clear" w:color="auto" w:fill="FFFFFF" w:themeFill="background1"/>
          </w:tcPr>
          <w:p w:rsidR="00A430A6" w:rsidRPr="00777C31" w:rsidRDefault="00A430A6" w:rsidP="00777C3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77C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Luis Cordero, Los límites de la jurisprudencia administrativa y las fuentes del derecho administrativo. </w:t>
            </w:r>
            <w:r w:rsidRPr="00777C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Las consecuencias del caso de la municipalidad de Zapallar </w:t>
            </w:r>
          </w:p>
          <w:p w:rsidR="00803159" w:rsidRPr="00777C31" w:rsidRDefault="00A430A6" w:rsidP="00777C3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77C31">
              <w:rPr>
                <w:rFonts w:ascii="Times New Roman" w:hAnsi="Times New Roman" w:cs="Times New Roman"/>
                <w:sz w:val="20"/>
                <w:szCs w:val="20"/>
              </w:rPr>
              <w:t>Carmona, Normas Administrativas</w:t>
            </w:r>
            <w:r w:rsidR="00803159" w:rsidRPr="00777C31">
              <w:rPr>
                <w:rFonts w:ascii="Times New Roman" w:hAnsi="Times New Roman" w:cs="Times New Roman"/>
                <w:sz w:val="20"/>
                <w:szCs w:val="20"/>
              </w:rPr>
              <w:t xml:space="preserve">, p. 1 a 8. </w:t>
            </w:r>
          </w:p>
          <w:p w:rsidR="006132A8" w:rsidRPr="00777C31" w:rsidRDefault="006132A8" w:rsidP="00777C3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2A8" w:rsidRPr="00777C31" w:rsidRDefault="006132A8" w:rsidP="00777C3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77C31">
              <w:rPr>
                <w:rFonts w:ascii="Times New Roman" w:hAnsi="Times New Roman" w:cs="Times New Roman"/>
                <w:sz w:val="20"/>
                <w:szCs w:val="20"/>
              </w:rPr>
              <w:t xml:space="preserve">Soto </w:t>
            </w:r>
            <w:proofErr w:type="spellStart"/>
            <w:r w:rsidRPr="00777C31">
              <w:rPr>
                <w:rFonts w:ascii="Times New Roman" w:hAnsi="Times New Roman" w:cs="Times New Roman"/>
                <w:sz w:val="20"/>
                <w:szCs w:val="20"/>
              </w:rPr>
              <w:t>Kloss</w:t>
            </w:r>
            <w:proofErr w:type="spellEnd"/>
            <w:r w:rsidRPr="00777C31">
              <w:rPr>
                <w:rFonts w:ascii="Times New Roman" w:hAnsi="Times New Roman" w:cs="Times New Roman"/>
                <w:sz w:val="20"/>
                <w:szCs w:val="20"/>
              </w:rPr>
              <w:t xml:space="preserve">, Acerca de la Obligatoriedad de los precedentes en la actividad administrativa del Estado, 499 a 503. </w:t>
            </w:r>
          </w:p>
          <w:p w:rsidR="00A430A6" w:rsidRPr="00777C31" w:rsidRDefault="00A430A6" w:rsidP="00777C3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30A6" w:rsidRPr="00777C31" w:rsidRDefault="00A430A6" w:rsidP="00777C3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30A6" w:rsidRPr="00777C31" w:rsidRDefault="00A430A6" w:rsidP="00777C3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pct"/>
            <w:shd w:val="clear" w:color="auto" w:fill="FFFFFF" w:themeFill="background1"/>
          </w:tcPr>
          <w:p w:rsidR="00803159" w:rsidRPr="00777C31" w:rsidRDefault="00803159" w:rsidP="00777C3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77C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Rosa Gómez, Ordenanzas Municipales </w:t>
            </w:r>
          </w:p>
          <w:p w:rsidR="00803159" w:rsidRPr="00777C31" w:rsidRDefault="00803159" w:rsidP="00777C3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156F" w:rsidRPr="00777C31" w:rsidRDefault="005B156F" w:rsidP="00777C3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77C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Luis Cordero, La importancia de los jueces de la corte suprema en la construcción del derecho administrativo chileno, p. 53 a 64. </w:t>
            </w:r>
          </w:p>
          <w:p w:rsidR="00A430A6" w:rsidRPr="00777C31" w:rsidRDefault="00A430A6" w:rsidP="00777C3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30A6" w:rsidRPr="00777C31" w:rsidTr="00777C31">
        <w:tc>
          <w:tcPr>
            <w:tcW w:w="341" w:type="pct"/>
            <w:shd w:val="clear" w:color="auto" w:fill="FFFFFF" w:themeFill="background1"/>
          </w:tcPr>
          <w:p w:rsidR="00A430A6" w:rsidRPr="00777C31" w:rsidRDefault="00A430A6" w:rsidP="00777C3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77C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18. </w:t>
            </w:r>
          </w:p>
        </w:tc>
        <w:tc>
          <w:tcPr>
            <w:tcW w:w="440" w:type="pct"/>
            <w:shd w:val="clear" w:color="auto" w:fill="FFFFFF" w:themeFill="background1"/>
          </w:tcPr>
          <w:p w:rsidR="00A430A6" w:rsidRPr="00777C31" w:rsidRDefault="00A430A6" w:rsidP="00777C3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77C31">
              <w:rPr>
                <w:rFonts w:ascii="Times New Roman" w:hAnsi="Times New Roman" w:cs="Times New Roman"/>
                <w:sz w:val="20"/>
                <w:szCs w:val="20"/>
              </w:rPr>
              <w:t xml:space="preserve">23 de abril </w:t>
            </w:r>
          </w:p>
        </w:tc>
        <w:tc>
          <w:tcPr>
            <w:tcW w:w="1698" w:type="pct"/>
            <w:shd w:val="clear" w:color="auto" w:fill="FFFFFF" w:themeFill="background1"/>
          </w:tcPr>
          <w:p w:rsidR="00A430A6" w:rsidRPr="00777C31" w:rsidRDefault="00A430A6" w:rsidP="00777C3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C31">
              <w:rPr>
                <w:rFonts w:ascii="Times New Roman" w:hAnsi="Times New Roman" w:cs="Times New Roman"/>
                <w:b/>
                <w:sz w:val="20"/>
                <w:szCs w:val="20"/>
              </w:rPr>
              <w:t>Sistema Normativo de la Administración Fuentes del Derecho Administrativo:</w:t>
            </w:r>
          </w:p>
          <w:p w:rsidR="00A430A6" w:rsidRPr="00777C31" w:rsidRDefault="00A430A6" w:rsidP="00777C3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77C31">
              <w:rPr>
                <w:rFonts w:ascii="Times New Roman" w:hAnsi="Times New Roman" w:cs="Times New Roman"/>
                <w:sz w:val="20"/>
                <w:szCs w:val="20"/>
              </w:rPr>
              <w:t>Principios del Derecho Administrativo, Costumbre, precedente:</w:t>
            </w:r>
          </w:p>
          <w:p w:rsidR="00A430A6" w:rsidRPr="00777C31" w:rsidRDefault="00A430A6" w:rsidP="00777C31">
            <w:pPr>
              <w:pStyle w:val="Prrafodelista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77C31">
              <w:rPr>
                <w:rFonts w:ascii="Times New Roman" w:hAnsi="Times New Roman" w:cs="Times New Roman"/>
                <w:sz w:val="20"/>
                <w:szCs w:val="20"/>
              </w:rPr>
              <w:t>Concepto</w:t>
            </w:r>
          </w:p>
          <w:p w:rsidR="00A430A6" w:rsidRPr="00777C31" w:rsidRDefault="00A430A6" w:rsidP="00777C31">
            <w:pPr>
              <w:pStyle w:val="Prrafodelista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77C31">
              <w:rPr>
                <w:rFonts w:ascii="Times New Roman" w:hAnsi="Times New Roman" w:cs="Times New Roman"/>
                <w:sz w:val="20"/>
                <w:szCs w:val="20"/>
              </w:rPr>
              <w:t xml:space="preserve">Principios legales y extra </w:t>
            </w:r>
            <w:proofErr w:type="spellStart"/>
            <w:r w:rsidRPr="00777C31">
              <w:rPr>
                <w:rFonts w:ascii="Times New Roman" w:hAnsi="Times New Roman" w:cs="Times New Roman"/>
                <w:sz w:val="20"/>
                <w:szCs w:val="20"/>
              </w:rPr>
              <w:t>legem</w:t>
            </w:r>
            <w:proofErr w:type="spellEnd"/>
            <w:r w:rsidRPr="00777C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430A6" w:rsidRPr="00777C31" w:rsidRDefault="00A430A6" w:rsidP="00777C31">
            <w:pPr>
              <w:pStyle w:val="Prrafodelista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77C31">
              <w:rPr>
                <w:rFonts w:ascii="Times New Roman" w:hAnsi="Times New Roman" w:cs="Times New Roman"/>
                <w:sz w:val="20"/>
                <w:szCs w:val="20"/>
              </w:rPr>
              <w:t xml:space="preserve">Principio de interdicción a la </w:t>
            </w:r>
            <w:proofErr w:type="spellStart"/>
            <w:r w:rsidRPr="00777C31">
              <w:rPr>
                <w:rFonts w:ascii="Times New Roman" w:hAnsi="Times New Roman" w:cs="Times New Roman"/>
                <w:sz w:val="20"/>
                <w:szCs w:val="20"/>
              </w:rPr>
              <w:t>arbitariedad</w:t>
            </w:r>
            <w:proofErr w:type="spellEnd"/>
          </w:p>
          <w:p w:rsidR="00A430A6" w:rsidRPr="00777C31" w:rsidRDefault="00A430A6" w:rsidP="00777C31">
            <w:pPr>
              <w:pStyle w:val="Prrafodelista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77C31">
              <w:rPr>
                <w:rFonts w:ascii="Times New Roman" w:hAnsi="Times New Roman" w:cs="Times New Roman"/>
                <w:sz w:val="20"/>
                <w:szCs w:val="20"/>
              </w:rPr>
              <w:t>Principio del debido proceso</w:t>
            </w:r>
          </w:p>
          <w:p w:rsidR="00A430A6" w:rsidRPr="00777C31" w:rsidRDefault="00A430A6" w:rsidP="00777C31">
            <w:pPr>
              <w:pStyle w:val="Prrafodelista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77C31">
              <w:rPr>
                <w:rFonts w:ascii="Times New Roman" w:hAnsi="Times New Roman" w:cs="Times New Roman"/>
                <w:sz w:val="20"/>
                <w:szCs w:val="20"/>
              </w:rPr>
              <w:t>Confianza legitima</w:t>
            </w:r>
          </w:p>
          <w:p w:rsidR="00A430A6" w:rsidRPr="00777C31" w:rsidRDefault="00A430A6" w:rsidP="00777C31">
            <w:pPr>
              <w:pStyle w:val="Prrafodelista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77C31">
              <w:rPr>
                <w:rFonts w:ascii="Times New Roman" w:hAnsi="Times New Roman" w:cs="Times New Roman"/>
                <w:sz w:val="20"/>
                <w:szCs w:val="20"/>
              </w:rPr>
              <w:t xml:space="preserve">Proporcionalidad    </w:t>
            </w:r>
          </w:p>
          <w:p w:rsidR="00A430A6" w:rsidRPr="00777C31" w:rsidRDefault="00A430A6" w:rsidP="00777C31">
            <w:pPr>
              <w:pStyle w:val="Prrafodelista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77C31">
              <w:rPr>
                <w:rFonts w:ascii="Times New Roman" w:hAnsi="Times New Roman" w:cs="Times New Roman"/>
                <w:sz w:val="20"/>
                <w:szCs w:val="20"/>
              </w:rPr>
              <w:t>Enriquecimiento sin causa</w:t>
            </w:r>
          </w:p>
          <w:p w:rsidR="00A430A6" w:rsidRPr="00777C31" w:rsidRDefault="00A430A6" w:rsidP="00777C31">
            <w:pPr>
              <w:pStyle w:val="Prrafodelista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77C31">
              <w:rPr>
                <w:rFonts w:ascii="Times New Roman" w:hAnsi="Times New Roman" w:cs="Times New Roman"/>
                <w:sz w:val="20"/>
                <w:szCs w:val="20"/>
              </w:rPr>
              <w:t>Buena fe</w:t>
            </w:r>
          </w:p>
          <w:p w:rsidR="00A430A6" w:rsidRPr="00777C31" w:rsidRDefault="00A430A6" w:rsidP="00777C31">
            <w:pPr>
              <w:pStyle w:val="Prrafodelista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77C31">
              <w:rPr>
                <w:rFonts w:ascii="Times New Roman" w:hAnsi="Times New Roman" w:cs="Times New Roman"/>
                <w:sz w:val="20"/>
                <w:szCs w:val="20"/>
              </w:rPr>
              <w:t>Ambiental: Preventivo y precautorio</w:t>
            </w:r>
          </w:p>
          <w:p w:rsidR="00A430A6" w:rsidRPr="00777C31" w:rsidRDefault="00A430A6" w:rsidP="00777C31">
            <w:pPr>
              <w:pStyle w:val="Prrafodelista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77C31">
              <w:rPr>
                <w:rFonts w:ascii="Times New Roman" w:hAnsi="Times New Roman" w:cs="Times New Roman"/>
                <w:sz w:val="20"/>
                <w:szCs w:val="20"/>
              </w:rPr>
              <w:t>Derecho Administrativo Sancionador: Los principios del Derecho penal</w:t>
            </w:r>
          </w:p>
          <w:p w:rsidR="00A430A6" w:rsidRPr="00777C31" w:rsidRDefault="00A430A6" w:rsidP="00777C31">
            <w:pPr>
              <w:pStyle w:val="Prrafodelista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77C31">
              <w:rPr>
                <w:rFonts w:ascii="Times New Roman" w:hAnsi="Times New Roman" w:cs="Times New Roman"/>
                <w:sz w:val="20"/>
                <w:szCs w:val="20"/>
              </w:rPr>
              <w:t>Compras públicas: BDS</w:t>
            </w:r>
          </w:p>
          <w:p w:rsidR="00A430A6" w:rsidRPr="00AA2CA5" w:rsidRDefault="00A430A6" w:rsidP="00777C31">
            <w:pPr>
              <w:pStyle w:val="Prrafodelista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77C31">
              <w:rPr>
                <w:rFonts w:ascii="Times New Roman" w:hAnsi="Times New Roman" w:cs="Times New Roman"/>
                <w:sz w:val="20"/>
                <w:szCs w:val="20"/>
              </w:rPr>
              <w:t xml:space="preserve"> Orden Público Económico: Los principios de la Constitución Económica </w:t>
            </w:r>
          </w:p>
        </w:tc>
        <w:tc>
          <w:tcPr>
            <w:tcW w:w="1261" w:type="pct"/>
            <w:shd w:val="clear" w:color="auto" w:fill="FFFFFF" w:themeFill="background1"/>
          </w:tcPr>
          <w:p w:rsidR="00A430A6" w:rsidRPr="00777C31" w:rsidRDefault="006132A8" w:rsidP="00777C3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77C31">
              <w:rPr>
                <w:rFonts w:ascii="Times New Roman" w:hAnsi="Times New Roman" w:cs="Times New Roman"/>
                <w:sz w:val="20"/>
                <w:szCs w:val="20"/>
              </w:rPr>
              <w:t xml:space="preserve">Vergara Alejandro, Derecho Administrativo: Identidad y Transformaciones, p. 37 a 53. </w:t>
            </w:r>
          </w:p>
        </w:tc>
        <w:tc>
          <w:tcPr>
            <w:tcW w:w="1260" w:type="pct"/>
            <w:shd w:val="clear" w:color="auto" w:fill="FFFFFF" w:themeFill="background1"/>
          </w:tcPr>
          <w:p w:rsidR="00A430A6" w:rsidRPr="00777C31" w:rsidRDefault="00A430A6" w:rsidP="00777C3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30A6" w:rsidRPr="008034D2" w:rsidTr="00777C31">
        <w:tc>
          <w:tcPr>
            <w:tcW w:w="341" w:type="pct"/>
            <w:shd w:val="clear" w:color="auto" w:fill="FFFFFF" w:themeFill="background1"/>
          </w:tcPr>
          <w:p w:rsidR="00A430A6" w:rsidRPr="00777C31" w:rsidRDefault="00A430A6" w:rsidP="00777C3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shd w:val="clear" w:color="auto" w:fill="FFFFFF" w:themeFill="background1"/>
          </w:tcPr>
          <w:p w:rsidR="00A430A6" w:rsidRPr="00777C31" w:rsidRDefault="00A430A6" w:rsidP="00777C3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77C31">
              <w:rPr>
                <w:rFonts w:ascii="Times New Roman" w:hAnsi="Times New Roman" w:cs="Times New Roman"/>
                <w:sz w:val="20"/>
                <w:szCs w:val="20"/>
              </w:rPr>
              <w:t xml:space="preserve">25 de abril </w:t>
            </w:r>
          </w:p>
        </w:tc>
        <w:tc>
          <w:tcPr>
            <w:tcW w:w="1698" w:type="pct"/>
            <w:shd w:val="clear" w:color="auto" w:fill="FFFFFF" w:themeFill="background1"/>
          </w:tcPr>
          <w:p w:rsidR="00A430A6" w:rsidRPr="008034D2" w:rsidRDefault="00A430A6" w:rsidP="00777C3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C31">
              <w:rPr>
                <w:rFonts w:ascii="Times New Roman" w:hAnsi="Times New Roman" w:cs="Times New Roman"/>
                <w:b/>
                <w:sz w:val="20"/>
                <w:szCs w:val="20"/>
              </w:rPr>
              <w:t>Prueba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61" w:type="pct"/>
            <w:shd w:val="clear" w:color="auto" w:fill="FFFFFF" w:themeFill="background1"/>
          </w:tcPr>
          <w:p w:rsidR="00A430A6" w:rsidRPr="008034D2" w:rsidRDefault="00A430A6" w:rsidP="00777C3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pct"/>
            <w:shd w:val="clear" w:color="auto" w:fill="FFFFFF" w:themeFill="background1"/>
          </w:tcPr>
          <w:p w:rsidR="00A430A6" w:rsidRPr="008034D2" w:rsidRDefault="00A430A6" w:rsidP="00777C3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430A6" w:rsidRDefault="00A430A6" w:rsidP="00777C31">
      <w:pPr>
        <w:shd w:val="clear" w:color="auto" w:fill="FFFFFF" w:themeFill="background1"/>
      </w:pPr>
    </w:p>
    <w:sectPr w:rsidR="00A430A6" w:rsidSect="00A430A6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91138"/>
    <w:multiLevelType w:val="hybridMultilevel"/>
    <w:tmpl w:val="4DA2A9F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23200"/>
    <w:multiLevelType w:val="hybridMultilevel"/>
    <w:tmpl w:val="B554E7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EB09BE"/>
    <w:multiLevelType w:val="hybridMultilevel"/>
    <w:tmpl w:val="87A2C984"/>
    <w:lvl w:ilvl="0" w:tplc="62D2750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0A6"/>
    <w:rsid w:val="00171A04"/>
    <w:rsid w:val="005B156F"/>
    <w:rsid w:val="006132A8"/>
    <w:rsid w:val="006327C0"/>
    <w:rsid w:val="00777C31"/>
    <w:rsid w:val="00803159"/>
    <w:rsid w:val="00865B9E"/>
    <w:rsid w:val="008E03D6"/>
    <w:rsid w:val="00A430A6"/>
    <w:rsid w:val="00AA2CA5"/>
    <w:rsid w:val="00C14FDA"/>
    <w:rsid w:val="00F8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596F1"/>
  <w15:chartTrackingRefBased/>
  <w15:docId w15:val="{A621EC71-AFEA-4FF7-9A0E-3BCFA384A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43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430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Cristóbal Osorio</dc:creator>
  <cp:keywords/>
  <dc:description/>
  <cp:lastModifiedBy>Cristóbal Osorio</cp:lastModifiedBy>
  <cp:revision>3</cp:revision>
  <dcterms:created xsi:type="dcterms:W3CDTF">2019-04-16T16:31:00Z</dcterms:created>
  <dcterms:modified xsi:type="dcterms:W3CDTF">2019-04-16T16:59:00Z</dcterms:modified>
</cp:coreProperties>
</file>