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D1ED" w14:textId="77777777" w:rsidR="00DE51D3" w:rsidRDefault="00DE51D3">
      <w:bookmarkStart w:id="0" w:name="_GoBack"/>
      <w:bookmarkEnd w:id="0"/>
    </w:p>
    <w:p w14:paraId="1D1C67E5" w14:textId="77777777" w:rsidR="00DE51D3" w:rsidRPr="00DE51D3" w:rsidRDefault="00DE51D3" w:rsidP="00DE51D3">
      <w:pPr>
        <w:ind w:left="-851"/>
        <w:jc w:val="both"/>
        <w:rPr>
          <w:rFonts w:ascii="Times New Roman" w:eastAsia="Times New Roman" w:hAnsi="Times New Roman" w:cs="Times New Roman"/>
          <w:sz w:val="24"/>
          <w:szCs w:val="24"/>
        </w:rPr>
      </w:pPr>
      <w:r w:rsidRPr="00DE51D3">
        <w:rPr>
          <w:rFonts w:ascii="Times New Roman" w:eastAsia="Times New Roman" w:hAnsi="Times New Roman" w:cs="Times New Roman"/>
          <w:b/>
          <w:sz w:val="24"/>
          <w:szCs w:val="24"/>
        </w:rPr>
        <w:t>Profesor:</w:t>
      </w:r>
      <w:r w:rsidRPr="00DE51D3">
        <w:rPr>
          <w:rFonts w:ascii="Times New Roman" w:eastAsia="Times New Roman" w:hAnsi="Times New Roman" w:cs="Times New Roman"/>
          <w:sz w:val="24"/>
          <w:szCs w:val="24"/>
        </w:rPr>
        <w:t xml:space="preserve"> Cristóbal Osorio Vargas.</w:t>
      </w:r>
    </w:p>
    <w:p w14:paraId="65CA8804" w14:textId="19FB0861" w:rsidR="00DE51D3" w:rsidRPr="00DE51D3" w:rsidRDefault="00DE51D3" w:rsidP="00DE51D3">
      <w:pPr>
        <w:ind w:left="-851"/>
        <w:jc w:val="both"/>
        <w:rPr>
          <w:rFonts w:ascii="Times New Roman" w:eastAsia="Times New Roman" w:hAnsi="Times New Roman" w:cs="Times New Roman"/>
          <w:sz w:val="24"/>
          <w:szCs w:val="24"/>
        </w:rPr>
      </w:pPr>
      <w:r w:rsidRPr="00DE51D3">
        <w:rPr>
          <w:rFonts w:ascii="Times New Roman" w:eastAsia="Times New Roman" w:hAnsi="Times New Roman" w:cs="Times New Roman"/>
          <w:b/>
          <w:sz w:val="24"/>
          <w:szCs w:val="24"/>
        </w:rPr>
        <w:t>Alumnos:</w:t>
      </w:r>
      <w:r w:rsidRPr="00DE51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Cristian Aguilera Aguilera</w:t>
      </w:r>
      <w:r w:rsidRPr="00DE51D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Ignacio Saavedra </w:t>
      </w:r>
    </w:p>
    <w:p w14:paraId="56DAA140" w14:textId="73656DEE" w:rsidR="00DE51D3" w:rsidRPr="00DE51D3" w:rsidRDefault="00756A4E" w:rsidP="00DE51D3">
      <w:pPr>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caso Grupo 6</w:t>
      </w:r>
      <w:r w:rsidR="00DE51D3" w:rsidRPr="00DE51D3">
        <w:rPr>
          <w:rFonts w:ascii="Times New Roman" w:eastAsia="Times New Roman" w:hAnsi="Times New Roman" w:cs="Times New Roman"/>
          <w:b/>
          <w:sz w:val="24"/>
          <w:szCs w:val="24"/>
        </w:rPr>
        <w:t xml:space="preserve">: </w:t>
      </w:r>
    </w:p>
    <w:p w14:paraId="3831D3D7" w14:textId="77777777" w:rsidR="00DE51D3" w:rsidRPr="00DE51D3" w:rsidRDefault="00DE51D3" w:rsidP="00DE51D3">
      <w:pPr>
        <w:ind w:left="-851"/>
        <w:jc w:val="both"/>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515"/>
        <w:gridCol w:w="1746"/>
        <w:gridCol w:w="6567"/>
      </w:tblGrid>
      <w:tr w:rsidR="00BB7233" w14:paraId="124ED379" w14:textId="77777777" w:rsidTr="00BF5538">
        <w:tc>
          <w:tcPr>
            <w:tcW w:w="515" w:type="dxa"/>
            <w:tcBorders>
              <w:top w:val="single" w:sz="4" w:space="0" w:color="auto"/>
              <w:left w:val="single" w:sz="4" w:space="0" w:color="auto"/>
              <w:bottom w:val="single" w:sz="4" w:space="0" w:color="auto"/>
              <w:right w:val="single" w:sz="4" w:space="0" w:color="auto"/>
            </w:tcBorders>
            <w:hideMark/>
          </w:tcPr>
          <w:p w14:paraId="7E05DA58"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1.</w:t>
            </w:r>
          </w:p>
        </w:tc>
        <w:tc>
          <w:tcPr>
            <w:tcW w:w="1746" w:type="dxa"/>
            <w:tcBorders>
              <w:top w:val="single" w:sz="4" w:space="0" w:color="auto"/>
              <w:left w:val="single" w:sz="4" w:space="0" w:color="auto"/>
              <w:bottom w:val="single" w:sz="4" w:space="0" w:color="auto"/>
              <w:right w:val="single" w:sz="4" w:space="0" w:color="auto"/>
            </w:tcBorders>
            <w:hideMark/>
          </w:tcPr>
          <w:p w14:paraId="41964D7E"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 xml:space="preserve">Caso </w:t>
            </w:r>
          </w:p>
        </w:tc>
        <w:tc>
          <w:tcPr>
            <w:tcW w:w="6567" w:type="dxa"/>
            <w:tcBorders>
              <w:top w:val="single" w:sz="4" w:space="0" w:color="auto"/>
              <w:left w:val="single" w:sz="4" w:space="0" w:color="auto"/>
              <w:bottom w:val="single" w:sz="4" w:space="0" w:color="auto"/>
              <w:right w:val="single" w:sz="4" w:space="0" w:color="auto"/>
            </w:tcBorders>
          </w:tcPr>
          <w:p w14:paraId="3E27A76D" w14:textId="77777777" w:rsidR="00BB7233" w:rsidRDefault="000E3429" w:rsidP="0080713F">
            <w:pPr>
              <w:spacing w:before="240" w:line="240" w:lineRule="auto"/>
              <w:jc w:val="both"/>
              <w:rPr>
                <w:rFonts w:ascii="Times New Roman" w:hAnsi="Times New Roman"/>
                <w:sz w:val="24"/>
                <w:szCs w:val="24"/>
              </w:rPr>
            </w:pPr>
            <w:r w:rsidRPr="000E3429">
              <w:rPr>
                <w:rFonts w:ascii="Times New Roman" w:hAnsi="Times New Roman"/>
                <w:sz w:val="24"/>
                <w:szCs w:val="24"/>
                <w:lang w:val="es-CL"/>
              </w:rPr>
              <w:t>Infracciones: Caso Colhue STC 2946</w:t>
            </w:r>
          </w:p>
        </w:tc>
      </w:tr>
      <w:tr w:rsidR="00BB7233" w14:paraId="6A2976D1" w14:textId="77777777" w:rsidTr="00BF5538">
        <w:tc>
          <w:tcPr>
            <w:tcW w:w="515" w:type="dxa"/>
            <w:tcBorders>
              <w:top w:val="single" w:sz="4" w:space="0" w:color="auto"/>
              <w:left w:val="single" w:sz="4" w:space="0" w:color="auto"/>
              <w:bottom w:val="single" w:sz="4" w:space="0" w:color="auto"/>
              <w:right w:val="single" w:sz="4" w:space="0" w:color="auto"/>
            </w:tcBorders>
            <w:hideMark/>
          </w:tcPr>
          <w:p w14:paraId="75137862"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 xml:space="preserve">2. </w:t>
            </w:r>
          </w:p>
        </w:tc>
        <w:tc>
          <w:tcPr>
            <w:tcW w:w="1746" w:type="dxa"/>
            <w:tcBorders>
              <w:top w:val="single" w:sz="4" w:space="0" w:color="auto"/>
              <w:left w:val="single" w:sz="4" w:space="0" w:color="auto"/>
              <w:bottom w:val="single" w:sz="4" w:space="0" w:color="auto"/>
              <w:right w:val="single" w:sz="4" w:space="0" w:color="auto"/>
            </w:tcBorders>
            <w:hideMark/>
          </w:tcPr>
          <w:p w14:paraId="06FE46FC"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Pregunta jurídica del caso</w:t>
            </w:r>
          </w:p>
        </w:tc>
        <w:tc>
          <w:tcPr>
            <w:tcW w:w="6567" w:type="dxa"/>
            <w:tcBorders>
              <w:top w:val="single" w:sz="4" w:space="0" w:color="auto"/>
              <w:left w:val="single" w:sz="4" w:space="0" w:color="auto"/>
              <w:bottom w:val="single" w:sz="4" w:space="0" w:color="auto"/>
              <w:right w:val="single" w:sz="4" w:space="0" w:color="auto"/>
            </w:tcBorders>
          </w:tcPr>
          <w:p w14:paraId="63F5DCEE" w14:textId="77777777" w:rsidR="00BB7233" w:rsidRDefault="0080713F" w:rsidP="0080713F">
            <w:pPr>
              <w:spacing w:before="240" w:line="240" w:lineRule="auto"/>
              <w:jc w:val="both"/>
              <w:rPr>
                <w:rFonts w:ascii="Times New Roman" w:hAnsi="Times New Roman"/>
                <w:sz w:val="24"/>
                <w:szCs w:val="24"/>
              </w:rPr>
            </w:pPr>
            <w:r>
              <w:rPr>
                <w:rFonts w:ascii="Times New Roman" w:hAnsi="Times New Roman"/>
                <w:sz w:val="24"/>
                <w:szCs w:val="24"/>
              </w:rPr>
              <w:t xml:space="preserve">Alcance del principio de tipicidad </w:t>
            </w:r>
            <w:r w:rsidR="0080536E">
              <w:rPr>
                <w:rFonts w:ascii="Times New Roman" w:hAnsi="Times New Roman"/>
                <w:sz w:val="24"/>
                <w:szCs w:val="24"/>
              </w:rPr>
              <w:t xml:space="preserve">y proporcionalidad </w:t>
            </w:r>
            <w:r>
              <w:rPr>
                <w:rFonts w:ascii="Times New Roman" w:hAnsi="Times New Roman"/>
                <w:sz w:val="24"/>
                <w:szCs w:val="24"/>
              </w:rPr>
              <w:t>para la determinación de infracciones administrativas</w:t>
            </w:r>
            <w:r w:rsidR="0080536E">
              <w:rPr>
                <w:rFonts w:ascii="Times New Roman" w:hAnsi="Times New Roman"/>
                <w:sz w:val="24"/>
                <w:szCs w:val="24"/>
              </w:rPr>
              <w:t xml:space="preserve"> y su cuantía</w:t>
            </w:r>
            <w:r>
              <w:rPr>
                <w:rFonts w:ascii="Times New Roman" w:hAnsi="Times New Roman"/>
                <w:sz w:val="24"/>
                <w:szCs w:val="24"/>
              </w:rPr>
              <w:t xml:space="preserve">. </w:t>
            </w:r>
            <w:r w:rsidR="007901BF">
              <w:rPr>
                <w:rFonts w:ascii="Times New Roman" w:hAnsi="Times New Roman"/>
                <w:sz w:val="24"/>
                <w:szCs w:val="24"/>
              </w:rPr>
              <w:t xml:space="preserve"> </w:t>
            </w:r>
          </w:p>
        </w:tc>
      </w:tr>
      <w:tr w:rsidR="00BB7233" w14:paraId="212129AA" w14:textId="77777777" w:rsidTr="00BF5538">
        <w:trPr>
          <w:trHeight w:val="58"/>
        </w:trPr>
        <w:tc>
          <w:tcPr>
            <w:tcW w:w="515" w:type="dxa"/>
            <w:tcBorders>
              <w:top w:val="single" w:sz="4" w:space="0" w:color="auto"/>
              <w:left w:val="single" w:sz="4" w:space="0" w:color="auto"/>
              <w:bottom w:val="single" w:sz="4" w:space="0" w:color="auto"/>
              <w:right w:val="single" w:sz="4" w:space="0" w:color="auto"/>
            </w:tcBorders>
            <w:hideMark/>
          </w:tcPr>
          <w:p w14:paraId="53C02064"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3.</w:t>
            </w:r>
          </w:p>
        </w:tc>
        <w:tc>
          <w:tcPr>
            <w:tcW w:w="1746" w:type="dxa"/>
            <w:tcBorders>
              <w:top w:val="single" w:sz="4" w:space="0" w:color="auto"/>
              <w:left w:val="single" w:sz="4" w:space="0" w:color="auto"/>
              <w:bottom w:val="single" w:sz="4" w:space="0" w:color="auto"/>
              <w:right w:val="single" w:sz="4" w:space="0" w:color="auto"/>
            </w:tcBorders>
            <w:hideMark/>
          </w:tcPr>
          <w:p w14:paraId="0CA78ED2"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Materia</w:t>
            </w:r>
          </w:p>
        </w:tc>
        <w:tc>
          <w:tcPr>
            <w:tcW w:w="6567" w:type="dxa"/>
            <w:tcBorders>
              <w:top w:val="single" w:sz="4" w:space="0" w:color="auto"/>
              <w:left w:val="single" w:sz="4" w:space="0" w:color="auto"/>
              <w:bottom w:val="single" w:sz="4" w:space="0" w:color="auto"/>
              <w:right w:val="single" w:sz="4" w:space="0" w:color="auto"/>
            </w:tcBorders>
          </w:tcPr>
          <w:p w14:paraId="131ED6BF" w14:textId="77777777" w:rsidR="00BB7233" w:rsidRDefault="00BB7233" w:rsidP="0080713F">
            <w:pPr>
              <w:spacing w:before="240" w:line="240" w:lineRule="auto"/>
              <w:jc w:val="both"/>
              <w:rPr>
                <w:rFonts w:ascii="Times New Roman" w:hAnsi="Times New Roman"/>
                <w:sz w:val="24"/>
                <w:szCs w:val="24"/>
              </w:rPr>
            </w:pPr>
            <w:r>
              <w:rPr>
                <w:rFonts w:ascii="Times New Roman" w:hAnsi="Times New Roman"/>
                <w:sz w:val="24"/>
                <w:szCs w:val="24"/>
              </w:rPr>
              <w:t xml:space="preserve">Recurso de inaplicabilidad por inconstitucionalidad </w:t>
            </w:r>
          </w:p>
        </w:tc>
      </w:tr>
      <w:tr w:rsidR="00BB7233" w14:paraId="4E327543" w14:textId="77777777" w:rsidTr="00BF5538">
        <w:tc>
          <w:tcPr>
            <w:tcW w:w="515" w:type="dxa"/>
            <w:tcBorders>
              <w:top w:val="single" w:sz="4" w:space="0" w:color="auto"/>
              <w:left w:val="single" w:sz="4" w:space="0" w:color="auto"/>
              <w:bottom w:val="single" w:sz="4" w:space="0" w:color="auto"/>
              <w:right w:val="single" w:sz="4" w:space="0" w:color="auto"/>
            </w:tcBorders>
            <w:hideMark/>
          </w:tcPr>
          <w:p w14:paraId="10483527"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4.</w:t>
            </w:r>
          </w:p>
        </w:tc>
        <w:tc>
          <w:tcPr>
            <w:tcW w:w="1746" w:type="dxa"/>
            <w:tcBorders>
              <w:top w:val="single" w:sz="4" w:space="0" w:color="auto"/>
              <w:left w:val="single" w:sz="4" w:space="0" w:color="auto"/>
              <w:bottom w:val="single" w:sz="4" w:space="0" w:color="auto"/>
              <w:right w:val="single" w:sz="4" w:space="0" w:color="auto"/>
            </w:tcBorders>
            <w:hideMark/>
          </w:tcPr>
          <w:p w14:paraId="3D2BDD34"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Rol:</w:t>
            </w:r>
          </w:p>
        </w:tc>
        <w:tc>
          <w:tcPr>
            <w:tcW w:w="6567" w:type="dxa"/>
            <w:tcBorders>
              <w:top w:val="single" w:sz="4" w:space="0" w:color="auto"/>
              <w:left w:val="single" w:sz="4" w:space="0" w:color="auto"/>
              <w:bottom w:val="single" w:sz="4" w:space="0" w:color="auto"/>
              <w:right w:val="single" w:sz="4" w:space="0" w:color="auto"/>
            </w:tcBorders>
          </w:tcPr>
          <w:p w14:paraId="56D1EB08" w14:textId="77777777" w:rsidR="00BB7233" w:rsidRDefault="00BD5C25" w:rsidP="0080713F">
            <w:pPr>
              <w:spacing w:before="240" w:line="240" w:lineRule="auto"/>
              <w:jc w:val="both"/>
              <w:rPr>
                <w:rFonts w:ascii="Times New Roman" w:hAnsi="Times New Roman"/>
                <w:sz w:val="24"/>
                <w:szCs w:val="24"/>
              </w:rPr>
            </w:pPr>
            <w:r>
              <w:rPr>
                <w:rFonts w:ascii="Times New Roman" w:hAnsi="Times New Roman"/>
                <w:sz w:val="24"/>
                <w:szCs w:val="24"/>
              </w:rPr>
              <w:t xml:space="preserve">Sentencia Tribunal Constitucional </w:t>
            </w:r>
            <w:r w:rsidR="00BB7233">
              <w:rPr>
                <w:rFonts w:ascii="Times New Roman" w:hAnsi="Times New Roman"/>
                <w:sz w:val="24"/>
                <w:szCs w:val="24"/>
              </w:rPr>
              <w:t>2946-15</w:t>
            </w:r>
          </w:p>
        </w:tc>
      </w:tr>
      <w:tr w:rsidR="00BB7233" w14:paraId="4A0301F5" w14:textId="77777777" w:rsidTr="00BF5538">
        <w:tc>
          <w:tcPr>
            <w:tcW w:w="515" w:type="dxa"/>
            <w:tcBorders>
              <w:top w:val="single" w:sz="4" w:space="0" w:color="auto"/>
              <w:left w:val="single" w:sz="4" w:space="0" w:color="auto"/>
              <w:bottom w:val="single" w:sz="4" w:space="0" w:color="auto"/>
              <w:right w:val="single" w:sz="4" w:space="0" w:color="auto"/>
            </w:tcBorders>
            <w:hideMark/>
          </w:tcPr>
          <w:p w14:paraId="00C95FA3"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5.</w:t>
            </w:r>
          </w:p>
        </w:tc>
        <w:tc>
          <w:tcPr>
            <w:tcW w:w="1746" w:type="dxa"/>
            <w:tcBorders>
              <w:top w:val="single" w:sz="4" w:space="0" w:color="auto"/>
              <w:left w:val="single" w:sz="4" w:space="0" w:color="auto"/>
              <w:bottom w:val="single" w:sz="4" w:space="0" w:color="auto"/>
              <w:right w:val="single" w:sz="4" w:space="0" w:color="auto"/>
            </w:tcBorders>
            <w:hideMark/>
          </w:tcPr>
          <w:p w14:paraId="4866B0F4"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Recurrente:</w:t>
            </w:r>
          </w:p>
        </w:tc>
        <w:tc>
          <w:tcPr>
            <w:tcW w:w="6567" w:type="dxa"/>
            <w:tcBorders>
              <w:top w:val="single" w:sz="4" w:space="0" w:color="auto"/>
              <w:left w:val="single" w:sz="4" w:space="0" w:color="auto"/>
              <w:bottom w:val="single" w:sz="4" w:space="0" w:color="auto"/>
              <w:right w:val="single" w:sz="4" w:space="0" w:color="auto"/>
            </w:tcBorders>
          </w:tcPr>
          <w:p w14:paraId="269F5816" w14:textId="77777777" w:rsidR="00BB7233" w:rsidRDefault="00BB7233" w:rsidP="0080713F">
            <w:pPr>
              <w:spacing w:before="240" w:line="240" w:lineRule="auto"/>
              <w:jc w:val="both"/>
              <w:rPr>
                <w:rFonts w:ascii="Times New Roman" w:hAnsi="Times New Roman"/>
                <w:sz w:val="24"/>
                <w:szCs w:val="24"/>
              </w:rPr>
            </w:pPr>
            <w:r>
              <w:rPr>
                <w:rFonts w:ascii="Times New Roman" w:hAnsi="Times New Roman"/>
                <w:sz w:val="24"/>
                <w:szCs w:val="24"/>
              </w:rPr>
              <w:t>Centro de Manejo de Residuos Orgánicos Colhue S.A.</w:t>
            </w:r>
          </w:p>
        </w:tc>
      </w:tr>
      <w:tr w:rsidR="00BB7233" w14:paraId="494A4745" w14:textId="77777777" w:rsidTr="00BF5538">
        <w:tc>
          <w:tcPr>
            <w:tcW w:w="515" w:type="dxa"/>
            <w:tcBorders>
              <w:top w:val="single" w:sz="4" w:space="0" w:color="auto"/>
              <w:left w:val="single" w:sz="4" w:space="0" w:color="auto"/>
              <w:bottom w:val="single" w:sz="4" w:space="0" w:color="auto"/>
              <w:right w:val="single" w:sz="4" w:space="0" w:color="auto"/>
            </w:tcBorders>
            <w:hideMark/>
          </w:tcPr>
          <w:p w14:paraId="706EF628"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6.</w:t>
            </w:r>
          </w:p>
        </w:tc>
        <w:tc>
          <w:tcPr>
            <w:tcW w:w="1746" w:type="dxa"/>
            <w:tcBorders>
              <w:top w:val="single" w:sz="4" w:space="0" w:color="auto"/>
              <w:left w:val="single" w:sz="4" w:space="0" w:color="auto"/>
              <w:bottom w:val="single" w:sz="4" w:space="0" w:color="auto"/>
              <w:right w:val="single" w:sz="4" w:space="0" w:color="auto"/>
            </w:tcBorders>
            <w:hideMark/>
          </w:tcPr>
          <w:p w14:paraId="6BE65AC8"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Recurrido:</w:t>
            </w:r>
          </w:p>
        </w:tc>
        <w:tc>
          <w:tcPr>
            <w:tcW w:w="6567" w:type="dxa"/>
            <w:tcBorders>
              <w:top w:val="single" w:sz="4" w:space="0" w:color="auto"/>
              <w:left w:val="single" w:sz="4" w:space="0" w:color="auto"/>
              <w:bottom w:val="single" w:sz="4" w:space="0" w:color="auto"/>
              <w:right w:val="single" w:sz="4" w:space="0" w:color="auto"/>
            </w:tcBorders>
          </w:tcPr>
          <w:p w14:paraId="7F35AD67" w14:textId="77777777" w:rsidR="00BB7233" w:rsidRDefault="00BB7233" w:rsidP="0080713F">
            <w:pPr>
              <w:spacing w:before="240" w:line="240" w:lineRule="auto"/>
              <w:jc w:val="both"/>
              <w:rPr>
                <w:rFonts w:ascii="Times New Roman" w:hAnsi="Times New Roman"/>
                <w:sz w:val="24"/>
                <w:szCs w:val="24"/>
              </w:rPr>
            </w:pPr>
            <w:r>
              <w:rPr>
                <w:rFonts w:ascii="Times New Roman" w:hAnsi="Times New Roman"/>
                <w:sz w:val="24"/>
                <w:szCs w:val="24"/>
              </w:rPr>
              <w:t>Comisión de Evaluación Ambiental de la Sexta Región</w:t>
            </w:r>
          </w:p>
        </w:tc>
      </w:tr>
      <w:tr w:rsidR="00BB7233" w14:paraId="308EBD12" w14:textId="77777777" w:rsidTr="00BF5538">
        <w:trPr>
          <w:trHeight w:val="400"/>
        </w:trPr>
        <w:tc>
          <w:tcPr>
            <w:tcW w:w="515" w:type="dxa"/>
            <w:tcBorders>
              <w:top w:val="single" w:sz="4" w:space="0" w:color="auto"/>
              <w:left w:val="single" w:sz="4" w:space="0" w:color="auto"/>
              <w:bottom w:val="single" w:sz="4" w:space="0" w:color="auto"/>
              <w:right w:val="single" w:sz="4" w:space="0" w:color="auto"/>
            </w:tcBorders>
            <w:hideMark/>
          </w:tcPr>
          <w:p w14:paraId="419D0FD6"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9.</w:t>
            </w:r>
          </w:p>
        </w:tc>
        <w:tc>
          <w:tcPr>
            <w:tcW w:w="1746" w:type="dxa"/>
            <w:tcBorders>
              <w:top w:val="single" w:sz="4" w:space="0" w:color="auto"/>
              <w:left w:val="single" w:sz="4" w:space="0" w:color="auto"/>
              <w:bottom w:val="single" w:sz="4" w:space="0" w:color="auto"/>
              <w:right w:val="single" w:sz="4" w:space="0" w:color="auto"/>
            </w:tcBorders>
            <w:hideMark/>
          </w:tcPr>
          <w:p w14:paraId="4175628D"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Integración:</w:t>
            </w:r>
          </w:p>
        </w:tc>
        <w:tc>
          <w:tcPr>
            <w:tcW w:w="6567" w:type="dxa"/>
            <w:tcBorders>
              <w:top w:val="single" w:sz="4" w:space="0" w:color="auto"/>
              <w:left w:val="single" w:sz="4" w:space="0" w:color="auto"/>
              <w:bottom w:val="single" w:sz="4" w:space="0" w:color="auto"/>
              <w:right w:val="single" w:sz="4" w:space="0" w:color="auto"/>
            </w:tcBorders>
          </w:tcPr>
          <w:p w14:paraId="4F52A4F2" w14:textId="77777777" w:rsidR="00BB7233" w:rsidRDefault="00BB7233" w:rsidP="0080713F">
            <w:pPr>
              <w:spacing w:before="240" w:line="240" w:lineRule="auto"/>
              <w:jc w:val="both"/>
              <w:rPr>
                <w:rFonts w:ascii="Times New Roman" w:hAnsi="Times New Roman"/>
                <w:sz w:val="24"/>
                <w:szCs w:val="24"/>
              </w:rPr>
            </w:pPr>
            <w:r>
              <w:rPr>
                <w:rFonts w:ascii="Times New Roman" w:hAnsi="Times New Roman"/>
                <w:sz w:val="24"/>
                <w:szCs w:val="24"/>
              </w:rPr>
              <w:t>Carlos Carmona Santander- Marisol Peña Torres- Iván Aróstica Maldonado- Domingo Hernández Emparanza- Juan José Romero Guzmán.- María Luisa Brahm Barril- Cristián Letelier Aguilar- José Ignacio Vásquez Márquez</w:t>
            </w:r>
          </w:p>
        </w:tc>
      </w:tr>
      <w:tr w:rsidR="00BB7233" w14:paraId="47D71CFB" w14:textId="77777777" w:rsidTr="00BF5538">
        <w:trPr>
          <w:trHeight w:val="356"/>
        </w:trPr>
        <w:tc>
          <w:tcPr>
            <w:tcW w:w="515" w:type="dxa"/>
            <w:tcBorders>
              <w:top w:val="single" w:sz="4" w:space="0" w:color="auto"/>
              <w:left w:val="single" w:sz="4" w:space="0" w:color="auto"/>
              <w:bottom w:val="single" w:sz="4" w:space="0" w:color="auto"/>
              <w:right w:val="single" w:sz="4" w:space="0" w:color="auto"/>
            </w:tcBorders>
            <w:hideMark/>
          </w:tcPr>
          <w:p w14:paraId="6EF81741"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10.</w:t>
            </w:r>
          </w:p>
        </w:tc>
        <w:tc>
          <w:tcPr>
            <w:tcW w:w="1746" w:type="dxa"/>
            <w:tcBorders>
              <w:top w:val="single" w:sz="4" w:space="0" w:color="auto"/>
              <w:left w:val="single" w:sz="4" w:space="0" w:color="auto"/>
              <w:bottom w:val="single" w:sz="4" w:space="0" w:color="auto"/>
              <w:right w:val="single" w:sz="4" w:space="0" w:color="auto"/>
            </w:tcBorders>
            <w:hideMark/>
          </w:tcPr>
          <w:p w14:paraId="3EA10FE6"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Redacción:</w:t>
            </w:r>
          </w:p>
        </w:tc>
        <w:tc>
          <w:tcPr>
            <w:tcW w:w="6567" w:type="dxa"/>
            <w:tcBorders>
              <w:top w:val="single" w:sz="4" w:space="0" w:color="auto"/>
              <w:left w:val="single" w:sz="4" w:space="0" w:color="auto"/>
              <w:bottom w:val="single" w:sz="4" w:space="0" w:color="auto"/>
              <w:right w:val="single" w:sz="4" w:space="0" w:color="auto"/>
            </w:tcBorders>
          </w:tcPr>
          <w:p w14:paraId="43EBCAFD" w14:textId="77777777" w:rsidR="00BB7233" w:rsidRDefault="00BB7233" w:rsidP="0080713F">
            <w:pPr>
              <w:spacing w:before="240" w:line="240" w:lineRule="auto"/>
              <w:jc w:val="both"/>
              <w:rPr>
                <w:rFonts w:ascii="Times New Roman" w:hAnsi="Times New Roman"/>
                <w:sz w:val="24"/>
                <w:szCs w:val="24"/>
              </w:rPr>
            </w:pPr>
            <w:r>
              <w:rPr>
                <w:rFonts w:ascii="Times New Roman" w:hAnsi="Times New Roman"/>
                <w:sz w:val="24"/>
                <w:szCs w:val="24"/>
              </w:rPr>
              <w:t>Iván Aróstica Maldonado redacta sentencia</w:t>
            </w:r>
            <w:r w:rsidR="00BD5C25">
              <w:rPr>
                <w:rFonts w:ascii="Times New Roman" w:hAnsi="Times New Roman"/>
                <w:sz w:val="24"/>
                <w:szCs w:val="24"/>
              </w:rPr>
              <w:t xml:space="preserve"> que acoge requerimiento de inaplicabilidad;</w:t>
            </w:r>
            <w:r>
              <w:rPr>
                <w:rFonts w:ascii="Times New Roman" w:hAnsi="Times New Roman"/>
                <w:sz w:val="24"/>
                <w:szCs w:val="24"/>
              </w:rPr>
              <w:t xml:space="preserve"> Carlos Carmona Santander </w:t>
            </w:r>
            <w:r w:rsidR="00BD5C25">
              <w:rPr>
                <w:rFonts w:ascii="Times New Roman" w:hAnsi="Times New Roman"/>
                <w:sz w:val="24"/>
                <w:szCs w:val="24"/>
              </w:rPr>
              <w:t xml:space="preserve"> redacta su disidencia con la de Marisol Peña Torres; </w:t>
            </w:r>
            <w:r>
              <w:rPr>
                <w:rFonts w:ascii="Times New Roman" w:hAnsi="Times New Roman"/>
                <w:sz w:val="24"/>
                <w:szCs w:val="24"/>
              </w:rPr>
              <w:t>y Domin</w:t>
            </w:r>
            <w:r w:rsidR="00BD5C25">
              <w:rPr>
                <w:rFonts w:ascii="Times New Roman" w:hAnsi="Times New Roman"/>
                <w:sz w:val="24"/>
                <w:szCs w:val="24"/>
              </w:rPr>
              <w:t>go Hernández Emparanza  redacta</w:t>
            </w:r>
            <w:r>
              <w:rPr>
                <w:rFonts w:ascii="Times New Roman" w:hAnsi="Times New Roman"/>
                <w:sz w:val="24"/>
                <w:szCs w:val="24"/>
              </w:rPr>
              <w:t xml:space="preserve"> disidencia</w:t>
            </w:r>
            <w:r w:rsidR="00BD5C25">
              <w:rPr>
                <w:rFonts w:ascii="Times New Roman" w:hAnsi="Times New Roman"/>
                <w:sz w:val="24"/>
                <w:szCs w:val="24"/>
              </w:rPr>
              <w:t xml:space="preserve"> concurrente</w:t>
            </w:r>
            <w:r>
              <w:rPr>
                <w:rFonts w:ascii="Times New Roman" w:hAnsi="Times New Roman"/>
                <w:sz w:val="24"/>
                <w:szCs w:val="24"/>
              </w:rPr>
              <w:t xml:space="preserve">. </w:t>
            </w:r>
          </w:p>
        </w:tc>
      </w:tr>
      <w:tr w:rsidR="00BB7233" w14:paraId="67A7F246" w14:textId="77777777" w:rsidTr="00BF5538">
        <w:trPr>
          <w:trHeight w:val="356"/>
        </w:trPr>
        <w:tc>
          <w:tcPr>
            <w:tcW w:w="515" w:type="dxa"/>
            <w:tcBorders>
              <w:top w:val="single" w:sz="4" w:space="0" w:color="auto"/>
              <w:left w:val="single" w:sz="4" w:space="0" w:color="auto"/>
              <w:bottom w:val="single" w:sz="4" w:space="0" w:color="auto"/>
              <w:right w:val="single" w:sz="4" w:space="0" w:color="auto"/>
            </w:tcBorders>
            <w:hideMark/>
          </w:tcPr>
          <w:p w14:paraId="227FB78E"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11.</w:t>
            </w:r>
          </w:p>
        </w:tc>
        <w:tc>
          <w:tcPr>
            <w:tcW w:w="1746" w:type="dxa"/>
            <w:tcBorders>
              <w:top w:val="single" w:sz="4" w:space="0" w:color="auto"/>
              <w:left w:val="single" w:sz="4" w:space="0" w:color="auto"/>
              <w:bottom w:val="single" w:sz="4" w:space="0" w:color="auto"/>
              <w:right w:val="single" w:sz="4" w:space="0" w:color="auto"/>
            </w:tcBorders>
            <w:hideMark/>
          </w:tcPr>
          <w:p w14:paraId="18B18B6B"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Votación:</w:t>
            </w:r>
          </w:p>
        </w:tc>
        <w:tc>
          <w:tcPr>
            <w:tcW w:w="6567" w:type="dxa"/>
            <w:tcBorders>
              <w:top w:val="single" w:sz="4" w:space="0" w:color="auto"/>
              <w:left w:val="single" w:sz="4" w:space="0" w:color="auto"/>
              <w:bottom w:val="single" w:sz="4" w:space="0" w:color="auto"/>
              <w:right w:val="single" w:sz="4" w:space="0" w:color="auto"/>
            </w:tcBorders>
          </w:tcPr>
          <w:p w14:paraId="6E3E50A0" w14:textId="77777777" w:rsidR="00BB7233" w:rsidRDefault="00BB7233" w:rsidP="0080713F">
            <w:pPr>
              <w:spacing w:before="240" w:line="240" w:lineRule="auto"/>
              <w:jc w:val="both"/>
              <w:rPr>
                <w:rFonts w:ascii="Times New Roman" w:hAnsi="Times New Roman"/>
                <w:sz w:val="24"/>
                <w:szCs w:val="24"/>
              </w:rPr>
            </w:pPr>
            <w:r>
              <w:rPr>
                <w:rFonts w:ascii="Times New Roman" w:hAnsi="Times New Roman"/>
                <w:sz w:val="24"/>
                <w:szCs w:val="24"/>
              </w:rPr>
              <w:t>5</w:t>
            </w:r>
            <w:r w:rsidR="0074681B">
              <w:rPr>
                <w:rFonts w:ascii="Times New Roman" w:hAnsi="Times New Roman"/>
                <w:sz w:val="24"/>
                <w:szCs w:val="24"/>
              </w:rPr>
              <w:t xml:space="preserve"> ministros deciden acoger el requerimiento de inaplicabilidad, y </w:t>
            </w:r>
            <w:r>
              <w:rPr>
                <w:rFonts w:ascii="Times New Roman" w:hAnsi="Times New Roman"/>
                <w:sz w:val="24"/>
                <w:szCs w:val="24"/>
              </w:rPr>
              <w:t>3</w:t>
            </w:r>
            <w:r w:rsidR="0074681B">
              <w:rPr>
                <w:rFonts w:ascii="Times New Roman" w:hAnsi="Times New Roman"/>
                <w:sz w:val="24"/>
                <w:szCs w:val="24"/>
              </w:rPr>
              <w:t xml:space="preserve"> ministros deciden rechazar el requerimiento. </w:t>
            </w:r>
            <w:r>
              <w:rPr>
                <w:rFonts w:ascii="Times New Roman" w:hAnsi="Times New Roman"/>
                <w:sz w:val="24"/>
                <w:szCs w:val="24"/>
              </w:rPr>
              <w:t xml:space="preserve"> </w:t>
            </w:r>
          </w:p>
        </w:tc>
      </w:tr>
      <w:tr w:rsidR="00BB7233" w14:paraId="61B90158" w14:textId="77777777" w:rsidTr="00BF5538">
        <w:trPr>
          <w:trHeight w:val="70"/>
        </w:trPr>
        <w:tc>
          <w:tcPr>
            <w:tcW w:w="515" w:type="dxa"/>
            <w:tcBorders>
              <w:top w:val="single" w:sz="4" w:space="0" w:color="auto"/>
              <w:left w:val="single" w:sz="4" w:space="0" w:color="auto"/>
              <w:bottom w:val="single" w:sz="4" w:space="0" w:color="auto"/>
              <w:right w:val="single" w:sz="4" w:space="0" w:color="auto"/>
            </w:tcBorders>
            <w:hideMark/>
          </w:tcPr>
          <w:p w14:paraId="310653DA"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 xml:space="preserve">13. </w:t>
            </w:r>
          </w:p>
        </w:tc>
        <w:tc>
          <w:tcPr>
            <w:tcW w:w="1746" w:type="dxa"/>
            <w:tcBorders>
              <w:top w:val="single" w:sz="4" w:space="0" w:color="auto"/>
              <w:left w:val="single" w:sz="4" w:space="0" w:color="auto"/>
              <w:bottom w:val="single" w:sz="4" w:space="0" w:color="auto"/>
              <w:right w:val="single" w:sz="4" w:space="0" w:color="auto"/>
            </w:tcBorders>
            <w:hideMark/>
          </w:tcPr>
          <w:p w14:paraId="5ACBA5AA" w14:textId="77777777" w:rsidR="00BB7233" w:rsidRDefault="00BB7233" w:rsidP="0080713F">
            <w:pPr>
              <w:spacing w:before="240" w:line="240" w:lineRule="auto"/>
              <w:jc w:val="both"/>
              <w:rPr>
                <w:rFonts w:ascii="Times New Roman" w:hAnsi="Times New Roman"/>
                <w:b/>
                <w:sz w:val="24"/>
                <w:szCs w:val="24"/>
              </w:rPr>
            </w:pPr>
            <w:r>
              <w:rPr>
                <w:rFonts w:ascii="Times New Roman" w:hAnsi="Times New Roman"/>
                <w:b/>
                <w:sz w:val="24"/>
                <w:szCs w:val="24"/>
              </w:rPr>
              <w:t>Considerandos relevantes:</w:t>
            </w:r>
          </w:p>
        </w:tc>
        <w:tc>
          <w:tcPr>
            <w:tcW w:w="6567" w:type="dxa"/>
            <w:tcBorders>
              <w:top w:val="single" w:sz="4" w:space="0" w:color="auto"/>
              <w:left w:val="single" w:sz="4" w:space="0" w:color="auto"/>
              <w:bottom w:val="single" w:sz="4" w:space="0" w:color="auto"/>
              <w:right w:val="single" w:sz="4" w:space="0" w:color="auto"/>
            </w:tcBorders>
          </w:tcPr>
          <w:p w14:paraId="519F51EF" w14:textId="77777777" w:rsidR="00BB7233" w:rsidRDefault="007901BF" w:rsidP="0080713F">
            <w:pPr>
              <w:spacing w:before="240" w:line="240" w:lineRule="auto"/>
              <w:jc w:val="both"/>
              <w:rPr>
                <w:rFonts w:ascii="Times New Roman" w:hAnsi="Times New Roman"/>
                <w:sz w:val="24"/>
                <w:szCs w:val="24"/>
              </w:rPr>
            </w:pPr>
            <w:r>
              <w:rPr>
                <w:rFonts w:ascii="Times New Roman" w:hAnsi="Times New Roman"/>
                <w:sz w:val="24"/>
                <w:szCs w:val="24"/>
              </w:rPr>
              <w:t xml:space="preserve">Del </w:t>
            </w:r>
            <w:r w:rsidRPr="00D52F2A">
              <w:rPr>
                <w:rFonts w:ascii="Times New Roman" w:hAnsi="Times New Roman"/>
                <w:b/>
                <w:smallCaps/>
                <w:sz w:val="24"/>
                <w:szCs w:val="24"/>
              </w:rPr>
              <w:t>voto de mayoría</w:t>
            </w:r>
            <w:r>
              <w:rPr>
                <w:rFonts w:ascii="Times New Roman" w:hAnsi="Times New Roman"/>
                <w:sz w:val="24"/>
                <w:szCs w:val="24"/>
              </w:rPr>
              <w:t xml:space="preserve"> son relevantes los considerandos: </w:t>
            </w:r>
          </w:p>
          <w:p w14:paraId="609F8BAF" w14:textId="04B40B5C" w:rsidR="00B03766" w:rsidRDefault="00C57844" w:rsidP="0080713F">
            <w:pPr>
              <w:spacing w:before="240" w:line="240" w:lineRule="auto"/>
              <w:jc w:val="both"/>
              <w:rPr>
                <w:rFonts w:ascii="Times New Roman" w:hAnsi="Times New Roman"/>
                <w:sz w:val="24"/>
                <w:szCs w:val="24"/>
              </w:rPr>
            </w:pPr>
            <w:r w:rsidRPr="00C57844">
              <w:rPr>
                <w:rFonts w:ascii="Times New Roman" w:hAnsi="Times New Roman"/>
                <w:b/>
                <w:smallCaps/>
                <w:sz w:val="24"/>
                <w:szCs w:val="24"/>
                <w:u w:val="single"/>
              </w:rPr>
              <w:t>Décimo Cuarto:</w:t>
            </w:r>
            <w:r>
              <w:rPr>
                <w:rFonts w:ascii="Times New Roman" w:hAnsi="Times New Roman"/>
                <w:sz w:val="24"/>
                <w:szCs w:val="24"/>
              </w:rPr>
              <w:t xml:space="preserve"> </w:t>
            </w:r>
            <w:r w:rsidR="005757D7">
              <w:rPr>
                <w:rFonts w:ascii="Times New Roman" w:hAnsi="Times New Roman"/>
                <w:sz w:val="24"/>
                <w:szCs w:val="24"/>
              </w:rPr>
              <w:t xml:space="preserve">El Tribunal Constitucional establece que a las </w:t>
            </w:r>
            <w:r w:rsidR="007901BF">
              <w:rPr>
                <w:rFonts w:ascii="Times New Roman" w:hAnsi="Times New Roman"/>
                <w:sz w:val="24"/>
                <w:szCs w:val="24"/>
              </w:rPr>
              <w:t>sanciones administrativas</w:t>
            </w:r>
            <w:r w:rsidR="005757D7">
              <w:rPr>
                <w:rFonts w:ascii="Times New Roman" w:hAnsi="Times New Roman"/>
                <w:sz w:val="24"/>
                <w:szCs w:val="24"/>
              </w:rPr>
              <w:t xml:space="preserve"> le</w:t>
            </w:r>
            <w:r w:rsidR="007901BF">
              <w:rPr>
                <w:rFonts w:ascii="Times New Roman" w:hAnsi="Times New Roman"/>
                <w:sz w:val="24"/>
                <w:szCs w:val="24"/>
              </w:rPr>
              <w:t xml:space="preserve"> son aplicables las garantías que rigen las penas penales</w:t>
            </w:r>
            <w:r w:rsidR="001404F0">
              <w:rPr>
                <w:rFonts w:ascii="Times New Roman" w:hAnsi="Times New Roman"/>
                <w:sz w:val="24"/>
                <w:szCs w:val="24"/>
              </w:rPr>
              <w:t>, pues ambas son manifestaciones del ius puniendi del Estado</w:t>
            </w:r>
            <w:r w:rsidR="007901BF">
              <w:rPr>
                <w:rFonts w:ascii="Times New Roman" w:hAnsi="Times New Roman"/>
                <w:sz w:val="24"/>
                <w:szCs w:val="24"/>
              </w:rPr>
              <w:t>, considerando por tanto el principio de tipicidad y proporcionalidad</w:t>
            </w:r>
            <w:r w:rsidR="001B2850">
              <w:rPr>
                <w:rFonts w:ascii="Times New Roman" w:hAnsi="Times New Roman"/>
                <w:sz w:val="24"/>
                <w:szCs w:val="24"/>
              </w:rPr>
              <w:t>//</w:t>
            </w:r>
            <w:r w:rsidR="007901BF">
              <w:rPr>
                <w:rFonts w:ascii="Times New Roman" w:hAnsi="Times New Roman"/>
                <w:sz w:val="24"/>
                <w:szCs w:val="24"/>
              </w:rPr>
              <w:t xml:space="preserve"> </w:t>
            </w:r>
            <w:r w:rsidR="005757D7" w:rsidRPr="005757D7">
              <w:rPr>
                <w:rFonts w:ascii="Times New Roman" w:hAnsi="Times New Roman"/>
                <w:b/>
                <w:bCs/>
                <w:smallCaps/>
                <w:sz w:val="24"/>
                <w:szCs w:val="24"/>
                <w:u w:val="single"/>
              </w:rPr>
              <w:t>Décimo Quinto:</w:t>
            </w:r>
            <w:r w:rsidR="005757D7">
              <w:rPr>
                <w:rFonts w:ascii="Times New Roman" w:hAnsi="Times New Roman"/>
                <w:sz w:val="24"/>
                <w:szCs w:val="24"/>
              </w:rPr>
              <w:t xml:space="preserve"> Creación de figuras indefinidas en legislación atenta al principio de tipicidad, por su parte el principio de proporcionalidad se ve afectado cuando se </w:t>
            </w:r>
            <w:r w:rsidR="005757D7">
              <w:rPr>
                <w:rFonts w:ascii="Times New Roman" w:hAnsi="Times New Roman"/>
                <w:sz w:val="24"/>
                <w:szCs w:val="24"/>
              </w:rPr>
              <w:lastRenderedPageBreak/>
              <w:t>establecen sanciones sin pautas precisas</w:t>
            </w:r>
            <w:r w:rsidR="001B2850">
              <w:rPr>
                <w:rFonts w:ascii="Times New Roman" w:hAnsi="Times New Roman"/>
                <w:sz w:val="24"/>
                <w:szCs w:val="24"/>
              </w:rPr>
              <w:t xml:space="preserve"> //</w:t>
            </w:r>
            <w:r w:rsidRPr="00C57844">
              <w:rPr>
                <w:rFonts w:ascii="Times New Roman" w:hAnsi="Times New Roman"/>
                <w:b/>
                <w:smallCaps/>
                <w:sz w:val="24"/>
                <w:szCs w:val="24"/>
                <w:u w:val="single"/>
              </w:rPr>
              <w:t>Décimo Sexto</w:t>
            </w:r>
            <w:r w:rsidRPr="00C57844">
              <w:rPr>
                <w:rFonts w:ascii="Times New Roman" w:hAnsi="Times New Roman"/>
                <w:b/>
                <w:sz w:val="24"/>
                <w:szCs w:val="24"/>
                <w:u w:val="single"/>
              </w:rPr>
              <w:t>:</w:t>
            </w:r>
            <w:r w:rsidRPr="00C57844">
              <w:rPr>
                <w:rFonts w:ascii="Times New Roman" w:hAnsi="Times New Roman"/>
                <w:sz w:val="24"/>
                <w:szCs w:val="24"/>
              </w:rPr>
              <w:t xml:space="preserve"> </w:t>
            </w:r>
            <w:r w:rsidR="005757D7">
              <w:rPr>
                <w:rFonts w:ascii="Times New Roman" w:hAnsi="Times New Roman"/>
                <w:sz w:val="24"/>
                <w:szCs w:val="24"/>
              </w:rPr>
              <w:t>El principio de tipicidad</w:t>
            </w:r>
            <w:r w:rsidRPr="00C57844">
              <w:rPr>
                <w:rFonts w:ascii="Times New Roman" w:hAnsi="Times New Roman"/>
                <w:sz w:val="24"/>
                <w:szCs w:val="24"/>
              </w:rPr>
              <w:t xml:space="preserve"> exig</w:t>
            </w:r>
            <w:r w:rsidR="005757D7">
              <w:rPr>
                <w:rFonts w:ascii="Times New Roman" w:hAnsi="Times New Roman"/>
                <w:sz w:val="24"/>
                <w:szCs w:val="24"/>
              </w:rPr>
              <w:t>e</w:t>
            </w:r>
            <w:r w:rsidR="009D01E5">
              <w:rPr>
                <w:rFonts w:ascii="Times New Roman" w:hAnsi="Times New Roman"/>
                <w:sz w:val="24"/>
                <w:szCs w:val="24"/>
              </w:rPr>
              <w:t xml:space="preserve"> que sea la ley de manera clara, patente y específica describa la conducta infraccional</w:t>
            </w:r>
            <w:r w:rsidR="001B2850">
              <w:rPr>
                <w:rFonts w:ascii="Times New Roman" w:hAnsi="Times New Roman"/>
                <w:sz w:val="24"/>
                <w:szCs w:val="24"/>
              </w:rPr>
              <w:t xml:space="preserve"> // </w:t>
            </w:r>
            <w:r w:rsidR="008A577F" w:rsidRPr="001B2850">
              <w:rPr>
                <w:rFonts w:ascii="Times New Roman" w:hAnsi="Times New Roman"/>
                <w:b/>
                <w:smallCaps/>
                <w:sz w:val="24"/>
                <w:szCs w:val="24"/>
                <w:u w:val="single"/>
              </w:rPr>
              <w:t>Vigésimo</w:t>
            </w:r>
            <w:r w:rsidR="001B2850" w:rsidRPr="001B2850">
              <w:rPr>
                <w:rFonts w:ascii="Times New Roman" w:hAnsi="Times New Roman"/>
                <w:b/>
                <w:smallCaps/>
                <w:sz w:val="24"/>
                <w:szCs w:val="24"/>
                <w:u w:val="single"/>
              </w:rPr>
              <w:t>:</w:t>
            </w:r>
            <w:r w:rsidR="001B2850" w:rsidRPr="001B2850">
              <w:rPr>
                <w:rFonts w:ascii="Times New Roman" w:hAnsi="Times New Roman"/>
                <w:b/>
                <w:smallCaps/>
                <w:sz w:val="24"/>
                <w:szCs w:val="24"/>
              </w:rPr>
              <w:t xml:space="preserve"> </w:t>
            </w:r>
            <w:r w:rsidR="001B2850" w:rsidRPr="001B2850">
              <w:rPr>
                <w:rFonts w:ascii="Times New Roman" w:hAnsi="Times New Roman"/>
                <w:bCs/>
                <w:sz w:val="24"/>
                <w:szCs w:val="24"/>
              </w:rPr>
              <w:t>El principio de proporcionalidad de las penas manda a describir la conducta ilícita que opera como antecedente</w:t>
            </w:r>
            <w:r w:rsidR="001B2850">
              <w:rPr>
                <w:rFonts w:ascii="Times New Roman" w:hAnsi="Times New Roman"/>
                <w:bCs/>
                <w:sz w:val="24"/>
                <w:szCs w:val="24"/>
              </w:rPr>
              <w:t>, a un tiempo de acomodar la pena que le sigue como consecuencia//</w:t>
            </w:r>
            <w:r w:rsidRPr="00C57844">
              <w:rPr>
                <w:rFonts w:ascii="Times New Roman" w:hAnsi="Times New Roman"/>
                <w:b/>
                <w:smallCaps/>
                <w:sz w:val="24"/>
                <w:szCs w:val="24"/>
                <w:u w:val="single"/>
              </w:rPr>
              <w:t xml:space="preserve">Vigésimo </w:t>
            </w:r>
            <w:r w:rsidR="001B2850">
              <w:rPr>
                <w:rFonts w:ascii="Times New Roman" w:hAnsi="Times New Roman"/>
                <w:b/>
                <w:smallCaps/>
                <w:sz w:val="24"/>
                <w:szCs w:val="24"/>
                <w:u w:val="single"/>
              </w:rPr>
              <w:t>Primero</w:t>
            </w:r>
            <w:r w:rsidRPr="00C57844">
              <w:rPr>
                <w:rFonts w:ascii="Times New Roman" w:hAnsi="Times New Roman"/>
                <w:b/>
                <w:smallCaps/>
                <w:sz w:val="24"/>
                <w:szCs w:val="24"/>
                <w:u w:val="single"/>
              </w:rPr>
              <w:t>:</w:t>
            </w:r>
            <w:r>
              <w:rPr>
                <w:rFonts w:ascii="Times New Roman" w:hAnsi="Times New Roman"/>
                <w:sz w:val="24"/>
                <w:szCs w:val="24"/>
              </w:rPr>
              <w:t xml:space="preserve"> </w:t>
            </w:r>
            <w:r w:rsidR="001B2850">
              <w:rPr>
                <w:rFonts w:ascii="Times New Roman" w:hAnsi="Times New Roman"/>
                <w:sz w:val="24"/>
                <w:szCs w:val="24"/>
              </w:rPr>
              <w:t xml:space="preserve">El principio de proporcionalidad es materia de ley, para luego dar paso a su aplicación concreta. El legislador incorpora márgenes mínimos y máximos de punición, para limitar la discrecionalidad de jueces y administradores. </w:t>
            </w:r>
          </w:p>
          <w:p w14:paraId="63BE9303" w14:textId="77777777" w:rsidR="00B03766" w:rsidRDefault="00B03766" w:rsidP="0080713F">
            <w:pPr>
              <w:spacing w:before="240" w:line="240" w:lineRule="auto"/>
              <w:jc w:val="both"/>
              <w:rPr>
                <w:rFonts w:ascii="Times New Roman" w:hAnsi="Times New Roman"/>
                <w:sz w:val="24"/>
                <w:szCs w:val="24"/>
              </w:rPr>
            </w:pPr>
            <w:r>
              <w:rPr>
                <w:rFonts w:ascii="Times New Roman" w:hAnsi="Times New Roman"/>
                <w:sz w:val="24"/>
                <w:szCs w:val="24"/>
              </w:rPr>
              <w:t xml:space="preserve">Del </w:t>
            </w:r>
            <w:r w:rsidRPr="00D52F2A">
              <w:rPr>
                <w:rFonts w:ascii="Times New Roman" w:hAnsi="Times New Roman"/>
                <w:b/>
                <w:smallCaps/>
                <w:sz w:val="24"/>
                <w:szCs w:val="24"/>
              </w:rPr>
              <w:t>voto de minoría</w:t>
            </w:r>
            <w:r>
              <w:rPr>
                <w:rFonts w:ascii="Times New Roman" w:hAnsi="Times New Roman"/>
                <w:sz w:val="24"/>
                <w:szCs w:val="24"/>
              </w:rPr>
              <w:t xml:space="preserve"> </w:t>
            </w:r>
            <w:r w:rsidR="0080713F">
              <w:rPr>
                <w:rFonts w:ascii="Times New Roman" w:hAnsi="Times New Roman"/>
                <w:sz w:val="24"/>
                <w:szCs w:val="24"/>
              </w:rPr>
              <w:t xml:space="preserve">de Carmona y Peña </w:t>
            </w:r>
            <w:r>
              <w:rPr>
                <w:rFonts w:ascii="Times New Roman" w:hAnsi="Times New Roman"/>
                <w:sz w:val="24"/>
                <w:szCs w:val="24"/>
              </w:rPr>
              <w:t>son relevantes:</w:t>
            </w:r>
          </w:p>
          <w:p w14:paraId="62A7FD9B" w14:textId="3C5CF575" w:rsidR="00225C8A" w:rsidRPr="001B2850" w:rsidRDefault="00E61D30" w:rsidP="00BD2476">
            <w:pPr>
              <w:spacing w:before="240" w:line="240" w:lineRule="auto"/>
              <w:jc w:val="both"/>
              <w:rPr>
                <w:rFonts w:ascii="Times New Roman" w:hAnsi="Times New Roman"/>
                <w:sz w:val="24"/>
                <w:szCs w:val="24"/>
              </w:rPr>
            </w:pPr>
            <w:r w:rsidRPr="00E61D30">
              <w:rPr>
                <w:rFonts w:ascii="Times New Roman" w:hAnsi="Times New Roman"/>
                <w:b/>
                <w:sz w:val="24"/>
                <w:szCs w:val="24"/>
              </w:rPr>
              <w:t>24.</w:t>
            </w:r>
            <w:r>
              <w:rPr>
                <w:rFonts w:ascii="Times New Roman" w:hAnsi="Times New Roman"/>
                <w:sz w:val="24"/>
                <w:szCs w:val="24"/>
              </w:rPr>
              <w:t xml:space="preserve"> Para sancionar y respetar tipicidad basta que el núcleo esencial de la conducta este en la ley, pudiendo haber colaboración de la autoridad administrativa</w:t>
            </w:r>
            <w:r w:rsidR="001B2850">
              <w:rPr>
                <w:rFonts w:ascii="Times New Roman" w:hAnsi="Times New Roman"/>
                <w:sz w:val="24"/>
                <w:szCs w:val="24"/>
              </w:rPr>
              <w:t xml:space="preserve"> //</w:t>
            </w:r>
            <w:r w:rsidR="00AD0234">
              <w:rPr>
                <w:rFonts w:ascii="Times New Roman" w:hAnsi="Times New Roman"/>
                <w:b/>
                <w:sz w:val="24"/>
                <w:szCs w:val="24"/>
              </w:rPr>
              <w:t>27</w:t>
            </w:r>
            <w:r w:rsidR="00AD0234" w:rsidRPr="00AD0234">
              <w:rPr>
                <w:rFonts w:ascii="Times New Roman" w:hAnsi="Times New Roman"/>
                <w:b/>
                <w:sz w:val="24"/>
                <w:szCs w:val="24"/>
              </w:rPr>
              <w:t>.</w:t>
            </w:r>
            <w:r w:rsidR="00AD0234">
              <w:rPr>
                <w:rFonts w:ascii="Times New Roman" w:hAnsi="Times New Roman"/>
                <w:b/>
                <w:sz w:val="24"/>
                <w:szCs w:val="24"/>
              </w:rPr>
              <w:t xml:space="preserve"> </w:t>
            </w:r>
            <w:r w:rsidR="00AD0234">
              <w:rPr>
                <w:rFonts w:ascii="Times New Roman" w:hAnsi="Times New Roman"/>
                <w:sz w:val="24"/>
                <w:szCs w:val="24"/>
              </w:rPr>
              <w:t>A juicio de ministros al efectuar comparación de institucionalidad en materia de fiscalización entre la previa al año 2010 y puesta por ley 20.473 no se modifica la exigencia de tipicidad básica, dado que existiría plena conciencia del ilícito a partir de las reglas donde hay dominio lega</w:t>
            </w:r>
            <w:r w:rsidR="0029455D">
              <w:rPr>
                <w:rFonts w:ascii="Times New Roman" w:hAnsi="Times New Roman"/>
                <w:sz w:val="24"/>
                <w:szCs w:val="24"/>
              </w:rPr>
              <w:t>l y colaboración reglamentaria</w:t>
            </w:r>
            <w:r w:rsidR="00135894">
              <w:rPr>
                <w:rFonts w:ascii="Times New Roman" w:hAnsi="Times New Roman"/>
                <w:sz w:val="24"/>
                <w:szCs w:val="24"/>
              </w:rPr>
              <w:t xml:space="preserve"> (hace análisis art. 64, 25 y 24 Ley Nº 19.300)</w:t>
            </w:r>
            <w:r w:rsidR="001B2850">
              <w:rPr>
                <w:rFonts w:ascii="Times New Roman" w:hAnsi="Times New Roman"/>
                <w:sz w:val="24"/>
                <w:szCs w:val="24"/>
              </w:rPr>
              <w:t xml:space="preserve"> // </w:t>
            </w:r>
            <w:r w:rsidR="004620D1" w:rsidRPr="005757D7">
              <w:rPr>
                <w:rFonts w:ascii="Times New Roman" w:hAnsi="Times New Roman"/>
                <w:b/>
                <w:sz w:val="24"/>
                <w:szCs w:val="24"/>
              </w:rPr>
              <w:t>31</w:t>
            </w:r>
            <w:r w:rsidR="004620D1">
              <w:rPr>
                <w:rFonts w:ascii="Times New Roman" w:hAnsi="Times New Roman"/>
                <w:sz w:val="24"/>
                <w:szCs w:val="24"/>
              </w:rPr>
              <w:t xml:space="preserve">. </w:t>
            </w:r>
            <w:r w:rsidR="00B94F60">
              <w:rPr>
                <w:rFonts w:ascii="Times New Roman" w:hAnsi="Times New Roman"/>
                <w:sz w:val="24"/>
                <w:szCs w:val="24"/>
              </w:rPr>
              <w:t xml:space="preserve">En cuanto a la proporcionalidad, </w:t>
            </w:r>
            <w:r w:rsidR="001B2850">
              <w:rPr>
                <w:rFonts w:ascii="Times New Roman" w:hAnsi="Times New Roman"/>
                <w:sz w:val="24"/>
                <w:szCs w:val="24"/>
              </w:rPr>
              <w:t>en el caso concreto</w:t>
            </w:r>
            <w:r w:rsidR="00B94F60">
              <w:rPr>
                <w:rFonts w:ascii="Times New Roman" w:hAnsi="Times New Roman"/>
                <w:sz w:val="24"/>
                <w:szCs w:val="24"/>
              </w:rPr>
              <w:t xml:space="preserve"> no ha sido afectada, primero porqué las sanciones desde el origen son las mismas y estas son mas favorables que las introducidas por la Ley Nº 20.417</w:t>
            </w:r>
            <w:r w:rsidR="00F23E50">
              <w:rPr>
                <w:rFonts w:ascii="Times New Roman" w:hAnsi="Times New Roman"/>
                <w:sz w:val="24"/>
                <w:szCs w:val="24"/>
              </w:rPr>
              <w:t>, segundo porque la progresión de la escala de sanciones es inferior, otorgandosele a la administración una escala en la que se puede mover.</w:t>
            </w:r>
          </w:p>
        </w:tc>
      </w:tr>
      <w:tr w:rsidR="00BB7233" w:rsidRPr="00946664" w14:paraId="11246163" w14:textId="77777777" w:rsidTr="00BF5538">
        <w:trPr>
          <w:trHeight w:val="70"/>
        </w:trPr>
        <w:tc>
          <w:tcPr>
            <w:tcW w:w="515" w:type="dxa"/>
            <w:tcBorders>
              <w:top w:val="single" w:sz="4" w:space="0" w:color="auto"/>
              <w:left w:val="single" w:sz="4" w:space="0" w:color="auto"/>
              <w:bottom w:val="single" w:sz="4" w:space="0" w:color="auto"/>
              <w:right w:val="single" w:sz="4" w:space="0" w:color="auto"/>
            </w:tcBorders>
            <w:hideMark/>
          </w:tcPr>
          <w:p w14:paraId="1175653D" w14:textId="0DF6106B" w:rsidR="00BB7233" w:rsidRDefault="00E61D30" w:rsidP="0080713F">
            <w:pPr>
              <w:spacing w:line="240" w:lineRule="auto"/>
              <w:jc w:val="both"/>
              <w:rPr>
                <w:rFonts w:ascii="Times New Roman" w:hAnsi="Times New Roman"/>
                <w:b/>
                <w:sz w:val="24"/>
                <w:szCs w:val="24"/>
              </w:rPr>
            </w:pPr>
            <w:r>
              <w:rPr>
                <w:rFonts w:ascii="Times New Roman" w:hAnsi="Times New Roman"/>
                <w:b/>
                <w:sz w:val="24"/>
                <w:szCs w:val="24"/>
              </w:rPr>
              <w:lastRenderedPageBreak/>
              <w:t>14</w:t>
            </w:r>
            <w:r w:rsidR="00BF5538">
              <w:rPr>
                <w:rFonts w:ascii="Times New Roman" w:hAnsi="Times New Roman"/>
                <w:b/>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14:paraId="5FB98796" w14:textId="77777777" w:rsidR="00BB7233" w:rsidRDefault="00BB7233" w:rsidP="0080713F">
            <w:pPr>
              <w:spacing w:line="240" w:lineRule="auto"/>
              <w:jc w:val="both"/>
              <w:rPr>
                <w:rFonts w:ascii="Times New Roman" w:hAnsi="Times New Roman"/>
                <w:b/>
                <w:sz w:val="24"/>
                <w:szCs w:val="24"/>
              </w:rPr>
            </w:pPr>
            <w:r>
              <w:rPr>
                <w:rFonts w:ascii="Times New Roman" w:hAnsi="Times New Roman"/>
                <w:b/>
                <w:sz w:val="24"/>
                <w:szCs w:val="24"/>
              </w:rPr>
              <w:t xml:space="preserve">Comentario </w:t>
            </w:r>
          </w:p>
        </w:tc>
        <w:tc>
          <w:tcPr>
            <w:tcW w:w="6567" w:type="dxa"/>
            <w:tcBorders>
              <w:top w:val="single" w:sz="4" w:space="0" w:color="auto"/>
              <w:left w:val="single" w:sz="4" w:space="0" w:color="auto"/>
              <w:bottom w:val="single" w:sz="4" w:space="0" w:color="auto"/>
              <w:right w:val="single" w:sz="4" w:space="0" w:color="auto"/>
            </w:tcBorders>
            <w:hideMark/>
          </w:tcPr>
          <w:p w14:paraId="600D7C7F" w14:textId="401019D9" w:rsidR="00807976" w:rsidRPr="00FC498C" w:rsidRDefault="00FC498C" w:rsidP="00807976">
            <w:pPr>
              <w:jc w:val="both"/>
              <w:rPr>
                <w:rFonts w:ascii="Times New Roman" w:hAnsi="Times New Roman"/>
                <w:sz w:val="24"/>
              </w:rPr>
            </w:pPr>
            <w:r>
              <w:rPr>
                <w:rFonts w:ascii="Times New Roman" w:hAnsi="Times New Roman"/>
                <w:sz w:val="24"/>
              </w:rPr>
              <w:t>El Tribunal Constitucional</w:t>
            </w:r>
            <w:r w:rsidR="00807976" w:rsidRPr="00FC498C">
              <w:rPr>
                <w:rFonts w:ascii="Times New Roman" w:hAnsi="Times New Roman"/>
                <w:sz w:val="24"/>
              </w:rPr>
              <w:t xml:space="preserve"> acoge el requerimiento de inaplicabilidad por inconstitucionalidad </w:t>
            </w:r>
            <w:r>
              <w:rPr>
                <w:rFonts w:ascii="Times New Roman" w:hAnsi="Times New Roman"/>
                <w:sz w:val="24"/>
              </w:rPr>
              <w:t>d</w:t>
            </w:r>
            <w:r w:rsidR="00807976" w:rsidRPr="00FC498C">
              <w:rPr>
                <w:rFonts w:ascii="Times New Roman" w:hAnsi="Times New Roman"/>
                <w:sz w:val="24"/>
              </w:rPr>
              <w:t>el artículo único de la Ley Nº 20.4</w:t>
            </w:r>
            <w:r>
              <w:rPr>
                <w:rFonts w:ascii="Times New Roman" w:hAnsi="Times New Roman"/>
                <w:sz w:val="24"/>
              </w:rPr>
              <w:t>7</w:t>
            </w:r>
            <w:r w:rsidR="00807976" w:rsidRPr="00FC498C">
              <w:rPr>
                <w:rFonts w:ascii="Times New Roman" w:hAnsi="Times New Roman"/>
                <w:sz w:val="24"/>
              </w:rPr>
              <w:t xml:space="preserve">3, pues </w:t>
            </w:r>
            <w:r>
              <w:rPr>
                <w:rFonts w:ascii="Times New Roman" w:hAnsi="Times New Roman"/>
                <w:sz w:val="24"/>
              </w:rPr>
              <w:t xml:space="preserve">a su juicio  resultaría </w:t>
            </w:r>
            <w:r w:rsidR="00807976" w:rsidRPr="00FC498C">
              <w:rPr>
                <w:rFonts w:ascii="Times New Roman" w:hAnsi="Times New Roman"/>
                <w:sz w:val="24"/>
              </w:rPr>
              <w:t>un texto legal, fuera de contexto, que no permite dar las certezas mínimas, permitiendo interpretaciones extensivas</w:t>
            </w:r>
            <w:r>
              <w:rPr>
                <w:rFonts w:ascii="Times New Roman" w:hAnsi="Times New Roman"/>
                <w:sz w:val="24"/>
              </w:rPr>
              <w:t xml:space="preserve"> a la administración al momento de aplicar una sanción administrativa al no definir con claridad el hecho motivo de la infracción como los criterios que debe aplicar la administración para su determinación concreta.</w:t>
            </w:r>
          </w:p>
          <w:p w14:paraId="006E040C" w14:textId="5712F4FD" w:rsidR="00807976" w:rsidRPr="00FC498C" w:rsidRDefault="00807976" w:rsidP="00807976">
            <w:pPr>
              <w:jc w:val="both"/>
              <w:rPr>
                <w:rFonts w:ascii="Times New Roman" w:hAnsi="Times New Roman"/>
                <w:sz w:val="24"/>
              </w:rPr>
            </w:pPr>
            <w:r w:rsidRPr="00FC498C">
              <w:rPr>
                <w:rFonts w:ascii="Times New Roman" w:hAnsi="Times New Roman"/>
                <w:sz w:val="24"/>
              </w:rPr>
              <w:t xml:space="preserve">En nuestra opinión, la sentencia del Tribunal Constitucional, </w:t>
            </w:r>
            <w:r w:rsidR="00FC498C">
              <w:rPr>
                <w:rFonts w:ascii="Times New Roman" w:hAnsi="Times New Roman"/>
                <w:sz w:val="24"/>
              </w:rPr>
              <w:t>y</w:t>
            </w:r>
            <w:r w:rsidRPr="00FC498C">
              <w:rPr>
                <w:rFonts w:ascii="Times New Roman" w:hAnsi="Times New Roman"/>
                <w:sz w:val="24"/>
              </w:rPr>
              <w:t xml:space="preserve">erra en hacer exigible el principio de tipicidad en un sentido tan estricto, pues si bien, existe consenso en la aplicación de principios de derecho penal en materia de derecho administrativo sancionador, esto, no conlleva simplemente volcar dichos principios (en este caso la tipicidad) al ámbito administrativo, el cual, se rige por regla especiales, vinculadas entre otros a la finalidad que busca la sanción (misma idea se extrae del considerando noveno de Sentencia CS Rol Nº 35.784-2017). </w:t>
            </w:r>
          </w:p>
          <w:p w14:paraId="02BBBEAF" w14:textId="333E5A5E" w:rsidR="000E147C" w:rsidRPr="00FC498C" w:rsidRDefault="00807976" w:rsidP="00807976">
            <w:pPr>
              <w:jc w:val="both"/>
              <w:rPr>
                <w:rFonts w:ascii="Times New Roman" w:hAnsi="Times New Roman"/>
                <w:sz w:val="24"/>
              </w:rPr>
            </w:pPr>
            <w:r w:rsidRPr="00FC498C">
              <w:rPr>
                <w:rFonts w:ascii="Times New Roman" w:hAnsi="Times New Roman"/>
                <w:sz w:val="24"/>
              </w:rPr>
              <w:t>En tal sentido, consideramos que, al aplicar el principio en su sentido estricto el Tribunal, eleva el estándar aplicable a la sanción, y como consecuencia de ello desprotege la garantía constitucional dispuesta en el artículo 19 Nº 8 de la CPR, normativa, que consideramos más valiosa que las condiciones o reglas que se podrían haber aprobado en la RCA, máxime si se considera que la misma, es en sí, solo una autorización de funcionamiento (idea, basada en texto de Marcelo Mardones Osorio “Caducidad de La Resolución de Calificación Ambiental y Reglamento Del SEIA”, disponible en: https://scielo.conicyt.cl/scielo.php?script=sci_arttext&amp;pid=S0718-34372016000200009),  por lo que, la certeza jurídica, no es comparable con la que deben tener los preceptos legales, sobre todo, considerando que la sanción, aplicada en el caso concreto, cumple también un incentivo al cumplimiento al particular y coadyuva la labor preventiva general, respecto a infracciones ambientales.</w:t>
            </w:r>
          </w:p>
          <w:p w14:paraId="271F04E2" w14:textId="77777777" w:rsidR="000E147C" w:rsidRDefault="00807976" w:rsidP="00807976">
            <w:pPr>
              <w:jc w:val="both"/>
              <w:rPr>
                <w:rFonts w:ascii="Times New Roman" w:hAnsi="Times New Roman"/>
                <w:sz w:val="24"/>
              </w:rPr>
            </w:pPr>
            <w:r w:rsidRPr="00FC498C">
              <w:rPr>
                <w:rFonts w:ascii="Times New Roman" w:hAnsi="Times New Roman"/>
                <w:sz w:val="24"/>
              </w:rPr>
              <w:t>Así, entendemos que, en el caso en particular, el costo de aplicar la tipicidad estrictamente, supera los beneficios asociados al cumplimiento normativo, y al bien jurídico protegido, (teniendo en consideración las reincidencias del sancionado, las que sirvieron de motivación para el voto disidente del caso Nº 4). Cumpliéndose en virtud de la remisión de la norma, los presupuestos facticos que constituían el núcleo esencial de la sanción y la atribución a la autoridad competente, velar por el “permanente cumplimiento de las normas y condiciones sobre la base de las cuales se aprobó el Estudio o se aceptó la Declaración de Impacto ambiental” (la idea de este párrafo se basa en el texto Dr. Raúl Letelier Wartenber “Garantías penales y sanciones administrativas”, pág. 26-37)</w:t>
            </w:r>
            <w:r w:rsidR="000E147C">
              <w:rPr>
                <w:rFonts w:ascii="Times New Roman" w:hAnsi="Times New Roman"/>
                <w:sz w:val="24"/>
              </w:rPr>
              <w:t>.</w:t>
            </w:r>
          </w:p>
          <w:p w14:paraId="7A1DA6B4" w14:textId="5D13C284" w:rsidR="000E147C" w:rsidRPr="00FC498C" w:rsidRDefault="00DC0844" w:rsidP="00807976">
            <w:pPr>
              <w:jc w:val="both"/>
              <w:rPr>
                <w:rFonts w:ascii="Times New Roman" w:hAnsi="Times New Roman"/>
                <w:sz w:val="24"/>
              </w:rPr>
            </w:pPr>
            <w:r>
              <w:rPr>
                <w:rFonts w:ascii="Times New Roman" w:hAnsi="Times New Roman"/>
                <w:sz w:val="24"/>
              </w:rPr>
              <w:t>Por último, l</w:t>
            </w:r>
            <w:r w:rsidR="000E147C">
              <w:rPr>
                <w:rFonts w:ascii="Times New Roman" w:hAnsi="Times New Roman"/>
                <w:sz w:val="24"/>
              </w:rPr>
              <w:t>a aplicación del principio de tipicidad en términos idénticos al derecho penal no se concilia con el avance del Estado Regulador, en que se le reconoce a la Administración capacidad de creación normativa y de cooperación a la ley, más aún cuando este está en mejores condiciones de actuar con eficacia y eficiencia frente a los administrados por su mayor especialidad ante los avances de la sociedad regulada</w:t>
            </w:r>
            <w:r w:rsidR="00B36932">
              <w:rPr>
                <w:rFonts w:ascii="Times New Roman" w:hAnsi="Times New Roman"/>
                <w:sz w:val="24"/>
              </w:rPr>
              <w:t xml:space="preserve">. A nuestro entender el principio de tipicidad administrativo debe ser moderado, bastando para su cumplimiento que se señale con claridad quien es el órgano </w:t>
            </w:r>
            <w:r w:rsidR="00A01765">
              <w:rPr>
                <w:rFonts w:ascii="Times New Roman" w:hAnsi="Times New Roman"/>
                <w:sz w:val="24"/>
              </w:rPr>
              <w:t>competente para</w:t>
            </w:r>
            <w:r w:rsidR="00B36932">
              <w:rPr>
                <w:rFonts w:ascii="Times New Roman" w:hAnsi="Times New Roman"/>
                <w:sz w:val="24"/>
              </w:rPr>
              <w:t xml:space="preserve"> establecer </w:t>
            </w:r>
            <w:r w:rsidR="00A01765">
              <w:rPr>
                <w:rFonts w:ascii="Times New Roman" w:hAnsi="Times New Roman"/>
                <w:sz w:val="24"/>
              </w:rPr>
              <w:t xml:space="preserve">tanto </w:t>
            </w:r>
            <w:r w:rsidR="00B36932">
              <w:rPr>
                <w:rFonts w:ascii="Times New Roman" w:hAnsi="Times New Roman"/>
                <w:sz w:val="24"/>
              </w:rPr>
              <w:t>las conductas</w:t>
            </w:r>
            <w:r w:rsidR="00A01765">
              <w:rPr>
                <w:rFonts w:ascii="Times New Roman" w:hAnsi="Times New Roman"/>
                <w:sz w:val="24"/>
              </w:rPr>
              <w:t xml:space="preserve"> exigibles como</w:t>
            </w:r>
            <w:r w:rsidR="00B36932">
              <w:rPr>
                <w:rFonts w:ascii="Times New Roman" w:hAnsi="Times New Roman"/>
                <w:sz w:val="24"/>
              </w:rPr>
              <w:t xml:space="preserve"> las sanciones por incumplimiento</w:t>
            </w:r>
            <w:r w:rsidR="00A01765">
              <w:rPr>
                <w:rFonts w:ascii="Times New Roman" w:hAnsi="Times New Roman"/>
                <w:sz w:val="24"/>
              </w:rPr>
              <w:t>, y el margen que debe observar la administración para establecer fundadame</w:t>
            </w:r>
            <w:r>
              <w:rPr>
                <w:rFonts w:ascii="Times New Roman" w:hAnsi="Times New Roman"/>
                <w:sz w:val="24"/>
              </w:rPr>
              <w:t>nte una sanción administrativa.</w:t>
            </w:r>
            <w:r w:rsidR="00B36932">
              <w:rPr>
                <w:rFonts w:ascii="Times New Roman" w:hAnsi="Times New Roman"/>
                <w:sz w:val="24"/>
              </w:rPr>
              <w:t xml:space="preserve"> </w:t>
            </w:r>
          </w:p>
          <w:p w14:paraId="6B9368B2" w14:textId="77777777" w:rsidR="0001760C" w:rsidRDefault="0001760C" w:rsidP="0080713F">
            <w:pPr>
              <w:spacing w:line="240" w:lineRule="auto"/>
              <w:jc w:val="both"/>
              <w:rPr>
                <w:rFonts w:ascii="Times New Roman" w:hAnsi="Times New Roman"/>
                <w:sz w:val="24"/>
                <w:szCs w:val="24"/>
              </w:rPr>
            </w:pPr>
          </w:p>
        </w:tc>
      </w:tr>
    </w:tbl>
    <w:p w14:paraId="76EFE91B" w14:textId="4A1133A5" w:rsidR="0053145C" w:rsidRPr="00B03766" w:rsidRDefault="0053145C" w:rsidP="0080713F">
      <w:pPr>
        <w:tabs>
          <w:tab w:val="left" w:pos="4920"/>
        </w:tabs>
        <w:spacing w:line="276" w:lineRule="auto"/>
      </w:pPr>
    </w:p>
    <w:sectPr w:rsidR="0053145C" w:rsidRPr="00B0376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1AABE" w14:textId="77777777" w:rsidR="00CB0782" w:rsidRDefault="00CB0782" w:rsidP="00DE51D3">
      <w:pPr>
        <w:spacing w:after="0" w:line="240" w:lineRule="auto"/>
      </w:pPr>
      <w:r>
        <w:separator/>
      </w:r>
    </w:p>
  </w:endnote>
  <w:endnote w:type="continuationSeparator" w:id="0">
    <w:p w14:paraId="6D34E98A" w14:textId="77777777" w:rsidR="00CB0782" w:rsidRDefault="00CB0782" w:rsidP="00DE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F9D2" w14:textId="77777777" w:rsidR="00CB0782" w:rsidRDefault="00CB0782" w:rsidP="00DE51D3">
      <w:pPr>
        <w:spacing w:after="0" w:line="240" w:lineRule="auto"/>
      </w:pPr>
      <w:r>
        <w:separator/>
      </w:r>
    </w:p>
  </w:footnote>
  <w:footnote w:type="continuationSeparator" w:id="0">
    <w:p w14:paraId="5A3CB68C" w14:textId="77777777" w:rsidR="00CB0782" w:rsidRDefault="00CB0782" w:rsidP="00DE5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DA91" w14:textId="77777777" w:rsidR="00DE51D3" w:rsidRDefault="00DE51D3" w:rsidP="00DE51D3">
    <w:pPr>
      <w:tabs>
        <w:tab w:val="center" w:pos="4419"/>
        <w:tab w:val="right" w:pos="88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MAGÍSTER EN DERECHO LLM UC </w:t>
    </w:r>
  </w:p>
  <w:p w14:paraId="6236D2BA" w14:textId="77777777" w:rsidR="00DE51D3" w:rsidRDefault="00DE51D3" w:rsidP="00DE51D3">
    <w:pPr>
      <w:tabs>
        <w:tab w:val="center" w:pos="4419"/>
        <w:tab w:val="right" w:pos="88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MENCIÓN DERECHO REGULATORIO</w:t>
    </w:r>
  </w:p>
  <w:p w14:paraId="6C3F128B" w14:textId="77777777" w:rsidR="00DE51D3" w:rsidRDefault="00DE51D3" w:rsidP="00DE51D3">
    <w:pPr>
      <w:tabs>
        <w:tab w:val="center" w:pos="4419"/>
        <w:tab w:val="right" w:pos="88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SEMINARIO DE CASOS</w:t>
    </w:r>
  </w:p>
  <w:p w14:paraId="4AB74AB1" w14:textId="03D49D9D" w:rsidR="00DE51D3" w:rsidRDefault="00DE51D3" w:rsidP="00DE51D3">
    <w:pPr>
      <w:tabs>
        <w:tab w:val="center" w:pos="4419"/>
        <w:tab w:val="right" w:pos="88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MÓDULO “DERECHO ADMINISTRATIVO SANCIONADOR”</w:t>
    </w:r>
  </w:p>
  <w:p w14:paraId="7F61DD00" w14:textId="77777777" w:rsidR="00DE51D3" w:rsidRDefault="00DE51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F0"/>
    <w:rsid w:val="0001760C"/>
    <w:rsid w:val="000E147C"/>
    <w:rsid w:val="000E3429"/>
    <w:rsid w:val="000E46A3"/>
    <w:rsid w:val="00121D77"/>
    <w:rsid w:val="00135894"/>
    <w:rsid w:val="001404F0"/>
    <w:rsid w:val="00167F9E"/>
    <w:rsid w:val="00197F16"/>
    <w:rsid w:val="001B2850"/>
    <w:rsid w:val="001E160C"/>
    <w:rsid w:val="00212800"/>
    <w:rsid w:val="00225C8A"/>
    <w:rsid w:val="0029455D"/>
    <w:rsid w:val="002D7E0F"/>
    <w:rsid w:val="00304340"/>
    <w:rsid w:val="00374A16"/>
    <w:rsid w:val="003A02F0"/>
    <w:rsid w:val="003C3DCE"/>
    <w:rsid w:val="003E1574"/>
    <w:rsid w:val="003F0B26"/>
    <w:rsid w:val="004620D1"/>
    <w:rsid w:val="00493B7E"/>
    <w:rsid w:val="004B2275"/>
    <w:rsid w:val="004B7240"/>
    <w:rsid w:val="0051453B"/>
    <w:rsid w:val="00526C79"/>
    <w:rsid w:val="0053145C"/>
    <w:rsid w:val="005757D7"/>
    <w:rsid w:val="00576820"/>
    <w:rsid w:val="0058084B"/>
    <w:rsid w:val="005B6791"/>
    <w:rsid w:val="005C08CF"/>
    <w:rsid w:val="005F0394"/>
    <w:rsid w:val="00600597"/>
    <w:rsid w:val="006A1286"/>
    <w:rsid w:val="006C13CB"/>
    <w:rsid w:val="006E5109"/>
    <w:rsid w:val="00722604"/>
    <w:rsid w:val="0074681B"/>
    <w:rsid w:val="00756A4E"/>
    <w:rsid w:val="007901BF"/>
    <w:rsid w:val="007B5364"/>
    <w:rsid w:val="007E2CF9"/>
    <w:rsid w:val="0080536E"/>
    <w:rsid w:val="0080713F"/>
    <w:rsid w:val="00807976"/>
    <w:rsid w:val="008563AB"/>
    <w:rsid w:val="0085784E"/>
    <w:rsid w:val="008A577F"/>
    <w:rsid w:val="00910F07"/>
    <w:rsid w:val="009435BB"/>
    <w:rsid w:val="00946664"/>
    <w:rsid w:val="00947607"/>
    <w:rsid w:val="009978EC"/>
    <w:rsid w:val="009D01E5"/>
    <w:rsid w:val="009D0479"/>
    <w:rsid w:val="00A01765"/>
    <w:rsid w:val="00A030FC"/>
    <w:rsid w:val="00A454F7"/>
    <w:rsid w:val="00AB2E62"/>
    <w:rsid w:val="00AC5913"/>
    <w:rsid w:val="00AC793C"/>
    <w:rsid w:val="00AD0234"/>
    <w:rsid w:val="00AF5A03"/>
    <w:rsid w:val="00B03766"/>
    <w:rsid w:val="00B36932"/>
    <w:rsid w:val="00B94F60"/>
    <w:rsid w:val="00BA2E1A"/>
    <w:rsid w:val="00BB12D9"/>
    <w:rsid w:val="00BB7233"/>
    <w:rsid w:val="00BD2476"/>
    <w:rsid w:val="00BD5C25"/>
    <w:rsid w:val="00BE1A46"/>
    <w:rsid w:val="00BF5538"/>
    <w:rsid w:val="00BF6A59"/>
    <w:rsid w:val="00C01755"/>
    <w:rsid w:val="00C336C6"/>
    <w:rsid w:val="00C57844"/>
    <w:rsid w:val="00C85E9B"/>
    <w:rsid w:val="00CB0782"/>
    <w:rsid w:val="00CB4CE3"/>
    <w:rsid w:val="00CE7411"/>
    <w:rsid w:val="00CF1D81"/>
    <w:rsid w:val="00D138AE"/>
    <w:rsid w:val="00D52F2A"/>
    <w:rsid w:val="00DC0844"/>
    <w:rsid w:val="00DC2721"/>
    <w:rsid w:val="00DE44B4"/>
    <w:rsid w:val="00DE51D3"/>
    <w:rsid w:val="00E5101B"/>
    <w:rsid w:val="00E5503F"/>
    <w:rsid w:val="00E61D30"/>
    <w:rsid w:val="00EA2C66"/>
    <w:rsid w:val="00F23E50"/>
    <w:rsid w:val="00F34032"/>
    <w:rsid w:val="00FA7A67"/>
    <w:rsid w:val="00FC209F"/>
    <w:rsid w:val="00FC498C"/>
    <w:rsid w:val="00FC79A0"/>
    <w:rsid w:val="00FE78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3223"/>
  <w15:chartTrackingRefBased/>
  <w15:docId w15:val="{878017D0-31F0-4CDF-95C5-3BD4C0D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23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B7233"/>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978E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978E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BB12D9"/>
    <w:rPr>
      <w:sz w:val="18"/>
      <w:szCs w:val="18"/>
    </w:rPr>
  </w:style>
  <w:style w:type="paragraph" w:styleId="Textocomentario">
    <w:name w:val="annotation text"/>
    <w:basedOn w:val="Normal"/>
    <w:link w:val="TextocomentarioCar"/>
    <w:uiPriority w:val="99"/>
    <w:semiHidden/>
    <w:unhideWhenUsed/>
    <w:rsid w:val="00BB12D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B12D9"/>
    <w:rPr>
      <w:sz w:val="24"/>
      <w:szCs w:val="24"/>
    </w:rPr>
  </w:style>
  <w:style w:type="paragraph" w:styleId="Asuntodelcomentario">
    <w:name w:val="annotation subject"/>
    <w:basedOn w:val="Textocomentario"/>
    <w:next w:val="Textocomentario"/>
    <w:link w:val="AsuntodelcomentarioCar"/>
    <w:uiPriority w:val="99"/>
    <w:semiHidden/>
    <w:unhideWhenUsed/>
    <w:rsid w:val="00BB12D9"/>
    <w:rPr>
      <w:b/>
      <w:bCs/>
      <w:sz w:val="20"/>
      <w:szCs w:val="20"/>
    </w:rPr>
  </w:style>
  <w:style w:type="character" w:customStyle="1" w:styleId="AsuntodelcomentarioCar">
    <w:name w:val="Asunto del comentario Car"/>
    <w:basedOn w:val="TextocomentarioCar"/>
    <w:link w:val="Asuntodelcomentario"/>
    <w:uiPriority w:val="99"/>
    <w:semiHidden/>
    <w:rsid w:val="00BB12D9"/>
    <w:rPr>
      <w:b/>
      <w:bCs/>
      <w:sz w:val="20"/>
      <w:szCs w:val="20"/>
    </w:rPr>
  </w:style>
  <w:style w:type="paragraph" w:styleId="Encabezado">
    <w:name w:val="header"/>
    <w:basedOn w:val="Normal"/>
    <w:link w:val="EncabezadoCar"/>
    <w:uiPriority w:val="99"/>
    <w:unhideWhenUsed/>
    <w:rsid w:val="00DE5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1D3"/>
  </w:style>
  <w:style w:type="paragraph" w:styleId="Piedepgina">
    <w:name w:val="footer"/>
    <w:basedOn w:val="Normal"/>
    <w:link w:val="PiedepginaCar"/>
    <w:uiPriority w:val="99"/>
    <w:unhideWhenUsed/>
    <w:rsid w:val="00DE5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1D3"/>
  </w:style>
  <w:style w:type="character" w:styleId="Hipervnculo">
    <w:name w:val="Hyperlink"/>
    <w:basedOn w:val="Fuentedeprrafopredeter"/>
    <w:uiPriority w:val="99"/>
    <w:unhideWhenUsed/>
    <w:rsid w:val="006C1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54824">
      <w:bodyDiv w:val="1"/>
      <w:marLeft w:val="0"/>
      <w:marRight w:val="0"/>
      <w:marTop w:val="0"/>
      <w:marBottom w:val="0"/>
      <w:divBdr>
        <w:top w:val="none" w:sz="0" w:space="0" w:color="auto"/>
        <w:left w:val="none" w:sz="0" w:space="0" w:color="auto"/>
        <w:bottom w:val="none" w:sz="0" w:space="0" w:color="auto"/>
        <w:right w:val="none" w:sz="0" w:space="0" w:color="auto"/>
      </w:divBdr>
    </w:div>
    <w:div w:id="551161411">
      <w:bodyDiv w:val="1"/>
      <w:marLeft w:val="0"/>
      <w:marRight w:val="0"/>
      <w:marTop w:val="0"/>
      <w:marBottom w:val="0"/>
      <w:divBdr>
        <w:top w:val="none" w:sz="0" w:space="0" w:color="auto"/>
        <w:left w:val="none" w:sz="0" w:space="0" w:color="auto"/>
        <w:bottom w:val="none" w:sz="0" w:space="0" w:color="auto"/>
        <w:right w:val="none" w:sz="0" w:space="0" w:color="auto"/>
      </w:divBdr>
    </w:div>
    <w:div w:id="1060441119">
      <w:bodyDiv w:val="1"/>
      <w:marLeft w:val="0"/>
      <w:marRight w:val="0"/>
      <w:marTop w:val="0"/>
      <w:marBottom w:val="0"/>
      <w:divBdr>
        <w:top w:val="none" w:sz="0" w:space="0" w:color="auto"/>
        <w:left w:val="none" w:sz="0" w:space="0" w:color="auto"/>
        <w:bottom w:val="none" w:sz="0" w:space="0" w:color="auto"/>
        <w:right w:val="none" w:sz="0" w:space="0" w:color="auto"/>
      </w:divBdr>
    </w:div>
    <w:div w:id="1161583513">
      <w:bodyDiv w:val="1"/>
      <w:marLeft w:val="0"/>
      <w:marRight w:val="0"/>
      <w:marTop w:val="0"/>
      <w:marBottom w:val="0"/>
      <w:divBdr>
        <w:top w:val="none" w:sz="0" w:space="0" w:color="auto"/>
        <w:left w:val="none" w:sz="0" w:space="0" w:color="auto"/>
        <w:bottom w:val="none" w:sz="0" w:space="0" w:color="auto"/>
        <w:right w:val="none" w:sz="0" w:space="0" w:color="auto"/>
      </w:divBdr>
    </w:div>
    <w:div w:id="1172992283">
      <w:bodyDiv w:val="1"/>
      <w:marLeft w:val="0"/>
      <w:marRight w:val="0"/>
      <w:marTop w:val="0"/>
      <w:marBottom w:val="0"/>
      <w:divBdr>
        <w:top w:val="none" w:sz="0" w:space="0" w:color="auto"/>
        <w:left w:val="none" w:sz="0" w:space="0" w:color="auto"/>
        <w:bottom w:val="none" w:sz="0" w:space="0" w:color="auto"/>
        <w:right w:val="none" w:sz="0" w:space="0" w:color="auto"/>
      </w:divBdr>
    </w:div>
    <w:div w:id="1468476909">
      <w:bodyDiv w:val="1"/>
      <w:marLeft w:val="0"/>
      <w:marRight w:val="0"/>
      <w:marTop w:val="0"/>
      <w:marBottom w:val="0"/>
      <w:divBdr>
        <w:top w:val="none" w:sz="0" w:space="0" w:color="auto"/>
        <w:left w:val="none" w:sz="0" w:space="0" w:color="auto"/>
        <w:bottom w:val="none" w:sz="0" w:space="0" w:color="auto"/>
        <w:right w:val="none" w:sz="0" w:space="0" w:color="auto"/>
      </w:divBdr>
    </w:div>
    <w:div w:id="17153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SAAVEDRA OLGUIN</dc:creator>
  <cp:keywords/>
  <dc:description/>
  <cp:lastModifiedBy>Cristóbal Osorio</cp:lastModifiedBy>
  <cp:revision>2</cp:revision>
  <dcterms:created xsi:type="dcterms:W3CDTF">2019-09-23T19:22:00Z</dcterms:created>
  <dcterms:modified xsi:type="dcterms:W3CDTF">2019-09-23T19:22:00Z</dcterms:modified>
</cp:coreProperties>
</file>