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D1B" w:rsidRPr="00C03D56" w:rsidRDefault="00F9609C" w:rsidP="00FB6D1B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Ficha grupo 5</w:t>
      </w:r>
    </w:p>
    <w:p w:rsidR="00FB6D1B" w:rsidRPr="00C03D56" w:rsidRDefault="00FB6D1B" w:rsidP="00FB6D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aconcuadrcula"/>
        <w:tblW w:w="1091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221"/>
      </w:tblGrid>
      <w:tr w:rsidR="00FB6D1B" w:rsidRPr="00C03D56" w:rsidTr="005D50CB">
        <w:tc>
          <w:tcPr>
            <w:tcW w:w="567" w:type="dxa"/>
          </w:tcPr>
          <w:p w:rsidR="00FB6D1B" w:rsidRPr="00C03D56" w:rsidRDefault="00FB6D1B" w:rsidP="005D50C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3D5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FB6D1B" w:rsidRPr="00C03D56" w:rsidRDefault="00FB6D1B" w:rsidP="005D50C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3D56">
              <w:rPr>
                <w:rFonts w:ascii="Times New Roman" w:hAnsi="Times New Roman"/>
                <w:b/>
                <w:sz w:val="24"/>
                <w:szCs w:val="24"/>
              </w:rPr>
              <w:t xml:space="preserve">Caso </w:t>
            </w:r>
          </w:p>
        </w:tc>
        <w:tc>
          <w:tcPr>
            <w:tcW w:w="8221" w:type="dxa"/>
          </w:tcPr>
          <w:p w:rsidR="00FB6D1B" w:rsidRPr="00C03D56" w:rsidRDefault="00F73300" w:rsidP="005D50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Central Termoeléctrica Bocamina</w:t>
            </w:r>
          </w:p>
        </w:tc>
      </w:tr>
      <w:tr w:rsidR="00FB6D1B" w:rsidRPr="00C03D56" w:rsidTr="005D50CB">
        <w:tc>
          <w:tcPr>
            <w:tcW w:w="567" w:type="dxa"/>
          </w:tcPr>
          <w:p w:rsidR="00FB6D1B" w:rsidRPr="00C03D56" w:rsidRDefault="00FB6D1B" w:rsidP="005D50C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3D56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127" w:type="dxa"/>
          </w:tcPr>
          <w:p w:rsidR="00D40549" w:rsidRDefault="00D40549" w:rsidP="005D50C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Pregunta jurídica   </w:t>
            </w:r>
          </w:p>
          <w:p w:rsidR="00FB6D1B" w:rsidRPr="00C03D56" w:rsidRDefault="00FB6D1B" w:rsidP="005D50C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3D56">
              <w:rPr>
                <w:rFonts w:ascii="Times New Roman" w:hAnsi="Times New Roman"/>
                <w:b/>
                <w:sz w:val="24"/>
                <w:szCs w:val="24"/>
              </w:rPr>
              <w:t>del caso</w:t>
            </w:r>
          </w:p>
        </w:tc>
        <w:tc>
          <w:tcPr>
            <w:tcW w:w="8221" w:type="dxa"/>
          </w:tcPr>
          <w:p w:rsidR="00723D0C" w:rsidRDefault="00723D0C" w:rsidP="005D50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¿Cuál es el contenido del deber de motivación y el principio de proporcionalidad en el Derecho Administrativo Sancionador?</w:t>
            </w:r>
          </w:p>
          <w:p w:rsidR="00E35C58" w:rsidRDefault="005D50CB" w:rsidP="005D50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¿Satisface los requisitos de fundamentación de las sanciones administrativas la referencia a un fallo dictado con anterioridad?</w:t>
            </w:r>
          </w:p>
          <w:p w:rsidR="004C4CC8" w:rsidRPr="005D50CB" w:rsidRDefault="004C4CC8" w:rsidP="002710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¿Es proporcional </w:t>
            </w:r>
            <w:r w:rsidR="0027108F">
              <w:rPr>
                <w:rFonts w:ascii="Times New Roman" w:hAnsi="Times New Roman"/>
                <w:sz w:val="24"/>
                <w:szCs w:val="24"/>
              </w:rPr>
              <w:t>aumentar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la sanción en 500 UTA por haberse acreditado “intencionalidad” (agravante)?</w:t>
            </w:r>
          </w:p>
        </w:tc>
      </w:tr>
      <w:tr w:rsidR="00FB6D1B" w:rsidRPr="00C03D56" w:rsidTr="005D50CB">
        <w:trPr>
          <w:trHeight w:val="58"/>
        </w:trPr>
        <w:tc>
          <w:tcPr>
            <w:tcW w:w="567" w:type="dxa"/>
          </w:tcPr>
          <w:p w:rsidR="00FB6D1B" w:rsidRPr="00C03D56" w:rsidRDefault="00FB6D1B" w:rsidP="005D50C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3D5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FB6D1B" w:rsidRPr="00C03D56" w:rsidRDefault="00FB6D1B" w:rsidP="005D50C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3D56">
              <w:rPr>
                <w:rFonts w:ascii="Times New Roman" w:hAnsi="Times New Roman"/>
                <w:b/>
                <w:sz w:val="24"/>
                <w:szCs w:val="24"/>
              </w:rPr>
              <w:t>Materia</w:t>
            </w:r>
          </w:p>
        </w:tc>
        <w:tc>
          <w:tcPr>
            <w:tcW w:w="8221" w:type="dxa"/>
          </w:tcPr>
          <w:p w:rsidR="00FB6D1B" w:rsidRPr="00C03D56" w:rsidRDefault="004C4CC8" w:rsidP="005D50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Derecho Administrativo Sancionador</w:t>
            </w:r>
          </w:p>
        </w:tc>
      </w:tr>
      <w:tr w:rsidR="00FB6D1B" w:rsidRPr="00C03D56" w:rsidTr="005D50CB">
        <w:trPr>
          <w:trHeight w:val="410"/>
        </w:trPr>
        <w:tc>
          <w:tcPr>
            <w:tcW w:w="567" w:type="dxa"/>
          </w:tcPr>
          <w:p w:rsidR="00FB6D1B" w:rsidRPr="00C03D56" w:rsidRDefault="00FB6D1B" w:rsidP="005D50C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3D56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FB6D1B" w:rsidRPr="00C03D56" w:rsidRDefault="00FB6D1B" w:rsidP="005D50C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3D56">
              <w:rPr>
                <w:rFonts w:ascii="Times New Roman" w:hAnsi="Times New Roman"/>
                <w:b/>
                <w:sz w:val="24"/>
                <w:szCs w:val="24"/>
              </w:rPr>
              <w:t>Rol:</w:t>
            </w:r>
          </w:p>
        </w:tc>
        <w:tc>
          <w:tcPr>
            <w:tcW w:w="8221" w:type="dxa"/>
          </w:tcPr>
          <w:p w:rsidR="00FB6D1B" w:rsidRPr="00C03D56" w:rsidRDefault="00407A26" w:rsidP="005D50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17.736-2016</w:t>
            </w:r>
            <w:r w:rsidR="00227939">
              <w:rPr>
                <w:rFonts w:ascii="Times New Roman" w:hAnsi="Times New Roman"/>
                <w:sz w:val="24"/>
                <w:szCs w:val="24"/>
              </w:rPr>
              <w:t xml:space="preserve"> de la</w:t>
            </w:r>
            <w:r w:rsidR="00E9758A">
              <w:rPr>
                <w:rFonts w:ascii="Times New Roman" w:hAnsi="Times New Roman"/>
                <w:sz w:val="24"/>
                <w:szCs w:val="24"/>
              </w:rPr>
              <w:t xml:space="preserve"> Excma.</w:t>
            </w:r>
            <w:r w:rsidR="00227939">
              <w:rPr>
                <w:rFonts w:ascii="Times New Roman" w:hAnsi="Times New Roman"/>
                <w:sz w:val="24"/>
                <w:szCs w:val="24"/>
              </w:rPr>
              <w:t xml:space="preserve"> Corte Suprema</w:t>
            </w:r>
          </w:p>
        </w:tc>
      </w:tr>
      <w:tr w:rsidR="00FB6D1B" w:rsidRPr="00C03D56" w:rsidTr="005D50CB">
        <w:tc>
          <w:tcPr>
            <w:tcW w:w="567" w:type="dxa"/>
          </w:tcPr>
          <w:p w:rsidR="00FB6D1B" w:rsidRPr="00C03D56" w:rsidRDefault="00FB6D1B" w:rsidP="005D50C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3D56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FB6D1B" w:rsidRPr="00C03D56" w:rsidRDefault="00FB6D1B" w:rsidP="005D50C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3D56">
              <w:rPr>
                <w:rFonts w:ascii="Times New Roman" w:hAnsi="Times New Roman"/>
                <w:b/>
                <w:sz w:val="24"/>
                <w:szCs w:val="24"/>
              </w:rPr>
              <w:t>Recurrente:</w:t>
            </w:r>
          </w:p>
        </w:tc>
        <w:tc>
          <w:tcPr>
            <w:tcW w:w="8221" w:type="dxa"/>
          </w:tcPr>
          <w:p w:rsidR="00FB6D1B" w:rsidRPr="00C03D56" w:rsidRDefault="0045062B" w:rsidP="005D50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Superintendencia del Medio Ambiente</w:t>
            </w:r>
            <w:r w:rsidR="009045B7">
              <w:rPr>
                <w:rFonts w:ascii="Times New Roman" w:hAnsi="Times New Roman"/>
                <w:sz w:val="24"/>
                <w:szCs w:val="24"/>
              </w:rPr>
              <w:t xml:space="preserve"> (SMA)</w:t>
            </w:r>
          </w:p>
        </w:tc>
      </w:tr>
      <w:tr w:rsidR="00FB6D1B" w:rsidRPr="00C03D56" w:rsidTr="005D50CB">
        <w:tc>
          <w:tcPr>
            <w:tcW w:w="567" w:type="dxa"/>
          </w:tcPr>
          <w:p w:rsidR="00FB6D1B" w:rsidRPr="00C03D56" w:rsidRDefault="00FB6D1B" w:rsidP="005D50C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3D56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FB6D1B" w:rsidRPr="00C03D56" w:rsidRDefault="00FB6D1B" w:rsidP="005D50C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3D56">
              <w:rPr>
                <w:rFonts w:ascii="Times New Roman" w:hAnsi="Times New Roman"/>
                <w:b/>
                <w:sz w:val="24"/>
                <w:szCs w:val="24"/>
              </w:rPr>
              <w:t>Recurrido:</w:t>
            </w:r>
          </w:p>
        </w:tc>
        <w:tc>
          <w:tcPr>
            <w:tcW w:w="8221" w:type="dxa"/>
          </w:tcPr>
          <w:p w:rsidR="00FB6D1B" w:rsidRPr="00C03D56" w:rsidRDefault="0045062B" w:rsidP="005D50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Empresa Nacional de Electricidad (ENDESA)</w:t>
            </w:r>
          </w:p>
        </w:tc>
      </w:tr>
      <w:tr w:rsidR="00FB6D1B" w:rsidRPr="00C03D56" w:rsidTr="005D50CB">
        <w:trPr>
          <w:trHeight w:val="400"/>
        </w:trPr>
        <w:tc>
          <w:tcPr>
            <w:tcW w:w="567" w:type="dxa"/>
          </w:tcPr>
          <w:p w:rsidR="00FB6D1B" w:rsidRPr="00C03D56" w:rsidRDefault="00FB6D1B" w:rsidP="005D50C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3D56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127" w:type="dxa"/>
          </w:tcPr>
          <w:p w:rsidR="00FB6D1B" w:rsidRPr="00C03D56" w:rsidRDefault="00FB6D1B" w:rsidP="005D50C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3D56">
              <w:rPr>
                <w:rFonts w:ascii="Times New Roman" w:hAnsi="Times New Roman"/>
                <w:b/>
                <w:sz w:val="24"/>
                <w:szCs w:val="24"/>
              </w:rPr>
              <w:t>Integración:</w:t>
            </w:r>
          </w:p>
        </w:tc>
        <w:tc>
          <w:tcPr>
            <w:tcW w:w="8221" w:type="dxa"/>
          </w:tcPr>
          <w:p w:rsidR="00FB6D1B" w:rsidRPr="00C03D56" w:rsidRDefault="00407A26" w:rsidP="005D50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Tercera Sala</w:t>
            </w:r>
            <w:r w:rsidR="0022793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="00227939">
              <w:rPr>
                <w:rFonts w:ascii="Times New Roman" w:hAnsi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/>
                <w:sz w:val="24"/>
                <w:szCs w:val="24"/>
              </w:rPr>
              <w:t>nistros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7939">
              <w:rPr>
                <w:rFonts w:ascii="Times New Roman" w:hAnsi="Times New Roman"/>
                <w:sz w:val="24"/>
                <w:szCs w:val="24"/>
              </w:rPr>
              <w:t xml:space="preserve">Sr.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Sergio Muñoz G., </w:t>
            </w:r>
            <w:r w:rsidR="00227939">
              <w:rPr>
                <w:rFonts w:ascii="Times New Roman" w:hAnsi="Times New Roman"/>
                <w:sz w:val="24"/>
                <w:szCs w:val="24"/>
              </w:rPr>
              <w:t xml:space="preserve">Sra. Rosa </w:t>
            </w:r>
            <w:proofErr w:type="spellStart"/>
            <w:r w:rsidR="00227939">
              <w:rPr>
                <w:rFonts w:ascii="Times New Roman" w:hAnsi="Times New Roman"/>
                <w:sz w:val="24"/>
                <w:szCs w:val="24"/>
              </w:rPr>
              <w:t>Egnem</w:t>
            </w:r>
            <w:proofErr w:type="spellEnd"/>
            <w:r w:rsidR="00227939">
              <w:rPr>
                <w:rFonts w:ascii="Times New Roman" w:hAnsi="Times New Roman"/>
                <w:sz w:val="24"/>
                <w:szCs w:val="24"/>
              </w:rPr>
              <w:t xml:space="preserve"> S. 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Sra.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Eugenia Sandoval G.</w:t>
            </w:r>
            <w:r w:rsidR="00227939">
              <w:rPr>
                <w:rFonts w:ascii="Times New Roman" w:hAnsi="Times New Roman"/>
                <w:sz w:val="24"/>
                <w:szCs w:val="24"/>
              </w:rPr>
              <w:t>, 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7939">
              <w:rPr>
                <w:rFonts w:ascii="Times New Roman" w:hAnsi="Times New Roman"/>
                <w:sz w:val="24"/>
                <w:szCs w:val="24"/>
              </w:rPr>
              <w:t>abogados i</w:t>
            </w:r>
            <w:r w:rsidR="002701DC">
              <w:rPr>
                <w:rFonts w:ascii="Times New Roman" w:hAnsi="Times New Roman"/>
                <w:sz w:val="24"/>
                <w:szCs w:val="24"/>
              </w:rPr>
              <w:t xml:space="preserve">ntegrantes Sr. Jaime </w:t>
            </w:r>
            <w:proofErr w:type="spellStart"/>
            <w:r w:rsidR="002701DC">
              <w:rPr>
                <w:rFonts w:ascii="Times New Roman" w:hAnsi="Times New Roman"/>
                <w:sz w:val="24"/>
                <w:szCs w:val="24"/>
              </w:rPr>
              <w:t>Rodriguez</w:t>
            </w:r>
            <w:proofErr w:type="spellEnd"/>
            <w:r w:rsidR="002701DC">
              <w:rPr>
                <w:rFonts w:ascii="Times New Roman" w:hAnsi="Times New Roman"/>
                <w:sz w:val="24"/>
                <w:szCs w:val="24"/>
              </w:rPr>
              <w:t xml:space="preserve"> E. y Sr. Jorge Lagos G.</w:t>
            </w:r>
          </w:p>
        </w:tc>
      </w:tr>
      <w:tr w:rsidR="00FB6D1B" w:rsidRPr="00C03D56" w:rsidTr="005D50CB">
        <w:trPr>
          <w:trHeight w:val="356"/>
        </w:trPr>
        <w:tc>
          <w:tcPr>
            <w:tcW w:w="567" w:type="dxa"/>
          </w:tcPr>
          <w:p w:rsidR="00FB6D1B" w:rsidRPr="00C03D56" w:rsidRDefault="00FB6D1B" w:rsidP="005D50C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3D56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127" w:type="dxa"/>
          </w:tcPr>
          <w:p w:rsidR="00FB6D1B" w:rsidRPr="00C03D56" w:rsidRDefault="00FB6D1B" w:rsidP="005D50C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3D56">
              <w:rPr>
                <w:rFonts w:ascii="Times New Roman" w:hAnsi="Times New Roman"/>
                <w:b/>
                <w:sz w:val="24"/>
                <w:szCs w:val="24"/>
              </w:rPr>
              <w:t>Redacción:</w:t>
            </w:r>
          </w:p>
        </w:tc>
        <w:tc>
          <w:tcPr>
            <w:tcW w:w="8221" w:type="dxa"/>
          </w:tcPr>
          <w:p w:rsidR="00FB6D1B" w:rsidRPr="00C03D56" w:rsidRDefault="0071100B" w:rsidP="005D50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Abogado i</w:t>
            </w:r>
            <w:r w:rsidR="002701DC">
              <w:rPr>
                <w:rFonts w:ascii="Times New Roman" w:hAnsi="Times New Roman"/>
                <w:sz w:val="24"/>
                <w:szCs w:val="24"/>
              </w:rPr>
              <w:t xml:space="preserve">ntegrante Sr. Jaime </w:t>
            </w:r>
            <w:proofErr w:type="spellStart"/>
            <w:r w:rsidR="002701DC">
              <w:rPr>
                <w:rFonts w:ascii="Times New Roman" w:hAnsi="Times New Roman"/>
                <w:sz w:val="24"/>
                <w:szCs w:val="24"/>
              </w:rPr>
              <w:t>Rodriguez</w:t>
            </w:r>
            <w:proofErr w:type="spellEnd"/>
            <w:r w:rsidR="002701DC">
              <w:rPr>
                <w:rFonts w:ascii="Times New Roman" w:hAnsi="Times New Roman"/>
                <w:sz w:val="24"/>
                <w:szCs w:val="24"/>
              </w:rPr>
              <w:t xml:space="preserve"> E</w:t>
            </w:r>
            <w:r w:rsidR="00D405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6D1B" w:rsidRPr="00C03D56" w:rsidTr="005D50CB">
        <w:trPr>
          <w:trHeight w:val="356"/>
        </w:trPr>
        <w:tc>
          <w:tcPr>
            <w:tcW w:w="567" w:type="dxa"/>
          </w:tcPr>
          <w:p w:rsidR="00FB6D1B" w:rsidRPr="00C03D56" w:rsidRDefault="00FB6D1B" w:rsidP="005D50C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3D56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127" w:type="dxa"/>
          </w:tcPr>
          <w:p w:rsidR="00FB6D1B" w:rsidRPr="00C03D56" w:rsidRDefault="00FB6D1B" w:rsidP="005D50C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3D56">
              <w:rPr>
                <w:rFonts w:ascii="Times New Roman" w:hAnsi="Times New Roman"/>
                <w:b/>
                <w:sz w:val="24"/>
                <w:szCs w:val="24"/>
              </w:rPr>
              <w:t>Votación:</w:t>
            </w:r>
          </w:p>
        </w:tc>
        <w:tc>
          <w:tcPr>
            <w:tcW w:w="8221" w:type="dxa"/>
          </w:tcPr>
          <w:p w:rsidR="00FB6D1B" w:rsidRPr="00C03D56" w:rsidRDefault="002C796E" w:rsidP="005D50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Unánime</w:t>
            </w:r>
            <w:r w:rsidR="00227939">
              <w:rPr>
                <w:rFonts w:ascii="Times New Roman" w:hAnsi="Times New Roman"/>
                <w:sz w:val="24"/>
                <w:szCs w:val="24"/>
              </w:rPr>
              <w:t>: acoge recurso de casación en el fondo</w:t>
            </w:r>
          </w:p>
        </w:tc>
      </w:tr>
      <w:tr w:rsidR="00FB6D1B" w:rsidRPr="00C03D56" w:rsidTr="005D50CB">
        <w:trPr>
          <w:trHeight w:val="70"/>
        </w:trPr>
        <w:tc>
          <w:tcPr>
            <w:tcW w:w="567" w:type="dxa"/>
          </w:tcPr>
          <w:p w:rsidR="00FB6D1B" w:rsidRPr="00C03D56" w:rsidRDefault="00FB6D1B" w:rsidP="005D50C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3D56">
              <w:rPr>
                <w:rFonts w:ascii="Times New Roman" w:hAnsi="Times New Roman"/>
                <w:b/>
                <w:sz w:val="24"/>
                <w:szCs w:val="24"/>
              </w:rPr>
              <w:t xml:space="preserve">13. </w:t>
            </w:r>
          </w:p>
        </w:tc>
        <w:tc>
          <w:tcPr>
            <w:tcW w:w="2127" w:type="dxa"/>
          </w:tcPr>
          <w:p w:rsidR="00FB6D1B" w:rsidRPr="00C03D56" w:rsidRDefault="00FB6D1B" w:rsidP="005D50C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3D56">
              <w:rPr>
                <w:rFonts w:ascii="Times New Roman" w:hAnsi="Times New Roman"/>
                <w:b/>
                <w:sz w:val="24"/>
                <w:szCs w:val="24"/>
              </w:rPr>
              <w:t>Considerandos relevantes:</w:t>
            </w:r>
          </w:p>
        </w:tc>
        <w:tc>
          <w:tcPr>
            <w:tcW w:w="8221" w:type="dxa"/>
          </w:tcPr>
          <w:p w:rsidR="00723D0C" w:rsidRDefault="00723D0C" w:rsidP="00723D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Hechos:</w:t>
            </w:r>
            <w:r w:rsidRPr="00B05D73">
              <w:rPr>
                <w:rFonts w:ascii="Times New Roman" w:hAnsi="Times New Roman"/>
                <w:sz w:val="24"/>
                <w:szCs w:val="24"/>
              </w:rPr>
              <w:t xml:space="preserve"> La SMA aplicó a ENDESA una multa por haber operado un proyecto sin contar con una resolución de calificación ambiental. El 3º Tribunal Ambiental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conociendo del reclamo interpuesto por el denunciante, </w:t>
            </w:r>
            <w:r w:rsidRPr="00B05D73">
              <w:rPr>
                <w:rFonts w:ascii="Times New Roman" w:hAnsi="Times New Roman"/>
                <w:sz w:val="24"/>
                <w:szCs w:val="24"/>
              </w:rPr>
              <w:t xml:space="preserve">decretó que la multa fue erróneamente impuesta al no considerar la SMA la agravante de “intencionalidad”. En consecuencia, la SMA dictó la resolución </w:t>
            </w:r>
            <w:proofErr w:type="spellStart"/>
            <w:r w:rsidRPr="00B05D73">
              <w:rPr>
                <w:rFonts w:ascii="Times New Roman" w:hAnsi="Times New Roman"/>
                <w:sz w:val="24"/>
                <w:szCs w:val="24"/>
              </w:rPr>
              <w:t>Nº</w:t>
            </w:r>
            <w:proofErr w:type="spellEnd"/>
            <w:r w:rsidRPr="00B05D73">
              <w:rPr>
                <w:rFonts w:ascii="Times New Roman" w:hAnsi="Times New Roman"/>
                <w:sz w:val="24"/>
                <w:szCs w:val="24"/>
              </w:rPr>
              <w:t xml:space="preserve"> 404/2015, considerando concurrente la agravante y aumentando la multa impuesta en 500 UTA.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3D0C" w:rsidRPr="00723D0C" w:rsidRDefault="00723D0C" w:rsidP="00723D0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5D73">
              <w:rPr>
                <w:rFonts w:ascii="Times New Roman" w:hAnsi="Times New Roman"/>
                <w:sz w:val="24"/>
                <w:szCs w:val="24"/>
              </w:rPr>
              <w:t xml:space="preserve">En contra de esta resolución ENDESA interpuso un recurso de reclamación. El 3° Tribunal Ambiental acogió el reclamo y dejó sin efecto la resolución </w:t>
            </w:r>
            <w:proofErr w:type="spellStart"/>
            <w:r w:rsidRPr="00B05D73">
              <w:rPr>
                <w:rFonts w:ascii="Times New Roman" w:hAnsi="Times New Roman"/>
                <w:sz w:val="24"/>
                <w:szCs w:val="24"/>
              </w:rPr>
              <w:t>Nº</w:t>
            </w:r>
            <w:proofErr w:type="spellEnd"/>
            <w:r w:rsidRPr="00B05D73">
              <w:rPr>
                <w:rFonts w:ascii="Times New Roman" w:hAnsi="Times New Roman"/>
                <w:sz w:val="24"/>
                <w:szCs w:val="24"/>
              </w:rPr>
              <w:t xml:space="preserve"> 404/2015.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5D73">
              <w:rPr>
                <w:rFonts w:ascii="Times New Roman" w:hAnsi="Times New Roman"/>
                <w:sz w:val="24"/>
                <w:szCs w:val="24"/>
              </w:rPr>
              <w:t>La SMA interpuso en contra de esta sentencia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</w:t>
            </w:r>
            <w:r w:rsidRPr="00B05D73">
              <w:rPr>
                <w:rFonts w:ascii="Times New Roman" w:hAnsi="Times New Roman"/>
                <w:sz w:val="24"/>
                <w:szCs w:val="24"/>
              </w:rPr>
              <w:t xml:space="preserve"> recurso de casación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en el fondo</w:t>
            </w:r>
            <w:r w:rsidRPr="00B05D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que fue acogido por la CS</w:t>
            </w:r>
            <w:r w:rsidRPr="00B05D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3D0C" w:rsidRPr="00723D0C" w:rsidRDefault="00723D0C" w:rsidP="00723D0C">
            <w:pPr>
              <w:tabs>
                <w:tab w:val="left" w:pos="321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723D0C" w:rsidRDefault="0044711A" w:rsidP="005D50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D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Sentencia que acoge </w:t>
            </w:r>
            <w:r w:rsidR="0071100B" w:rsidRPr="00723D0C">
              <w:rPr>
                <w:rFonts w:ascii="Times New Roman" w:hAnsi="Times New Roman"/>
                <w:b/>
                <w:i/>
                <w:sz w:val="24"/>
                <w:szCs w:val="24"/>
              </w:rPr>
              <w:t>el recurso</w:t>
            </w:r>
            <w:r w:rsidR="007110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0AFD" w:rsidRDefault="00D50AFD" w:rsidP="00D50A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El DAS y el Derecho Penal tienen una naturaleza y finalidad distintas, por lo que los principios de este se aplican distintamente en aquel: </w:t>
            </w:r>
          </w:p>
          <w:p w:rsidR="0044711A" w:rsidRPr="00D50AFD" w:rsidRDefault="00D50AFD" w:rsidP="00D50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Décimo octavo: [...] </w:t>
            </w:r>
            <w:r w:rsidRPr="00D50AFD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tanto la sanción penal como la </w:t>
            </w:r>
            <w:proofErr w:type="gramStart"/>
            <w:r w:rsidRPr="00D50AFD">
              <w:rPr>
                <w:rFonts w:ascii="Times New Roman" w:hAnsi="Times New Roman"/>
                <w:sz w:val="24"/>
                <w:szCs w:val="24"/>
                <w:lang w:val="es-ES"/>
              </w:rPr>
              <w:t>administrativa,</w:t>
            </w:r>
            <w:proofErr w:type="gramEnd"/>
            <w:r w:rsidRPr="00D50AFD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son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r w:rsidRPr="00D50AFD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manifestaciones de un único </w:t>
            </w:r>
            <w:r w:rsidRPr="00D50AFD">
              <w:rPr>
                <w:rFonts w:ascii="Times New Roman" w:hAnsi="Times New Roman"/>
                <w:i/>
                <w:iCs/>
                <w:sz w:val="24"/>
                <w:szCs w:val="24"/>
                <w:lang w:val="es-ES"/>
              </w:rPr>
              <w:t xml:space="preserve">ius puniendi </w:t>
            </w:r>
            <w:r w:rsidRPr="00D50AFD">
              <w:rPr>
                <w:rFonts w:ascii="Times New Roman" w:hAnsi="Times New Roman"/>
                <w:sz w:val="24"/>
                <w:szCs w:val="24"/>
                <w:lang w:val="es-ES"/>
              </w:rPr>
              <w:t>estatal, donde el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r w:rsidRPr="00D50AFD">
              <w:rPr>
                <w:rFonts w:ascii="Times New Roman" w:hAnsi="Times New Roman"/>
                <w:sz w:val="24"/>
                <w:szCs w:val="24"/>
                <w:lang w:val="es-ES"/>
              </w:rPr>
              <w:t>principio de proporcionalidad actúa como un límite en la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r w:rsidRPr="00D50AFD">
              <w:rPr>
                <w:rFonts w:ascii="Times New Roman" w:hAnsi="Times New Roman"/>
                <w:sz w:val="24"/>
                <w:szCs w:val="24"/>
                <w:lang w:val="es-ES"/>
              </w:rPr>
              <w:t>imposición de los castigos. Sin embargo, ello no importa de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r w:rsidRPr="00D50AFD">
              <w:rPr>
                <w:rFonts w:ascii="Times New Roman" w:hAnsi="Times New Roman"/>
                <w:sz w:val="24"/>
                <w:szCs w:val="24"/>
                <w:lang w:val="es-ES"/>
              </w:rPr>
              <w:t>inmediato la aplicación de los principios del derecho penal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r w:rsidRPr="00D50AFD">
              <w:rPr>
                <w:rFonts w:ascii="Times New Roman" w:hAnsi="Times New Roman"/>
                <w:sz w:val="24"/>
                <w:szCs w:val="24"/>
                <w:lang w:val="es-ES"/>
              </w:rPr>
              <w:t>a la sanción impuesta por la Administración, por cuanto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r w:rsidRPr="00D50AFD">
              <w:rPr>
                <w:rFonts w:ascii="Times New Roman" w:hAnsi="Times New Roman"/>
                <w:sz w:val="24"/>
                <w:szCs w:val="24"/>
                <w:lang w:val="es-ES"/>
              </w:rPr>
              <w:t>existen ciertos matices dados principalmente por la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r w:rsidRPr="00D50AFD">
              <w:rPr>
                <w:rFonts w:ascii="Times New Roman" w:hAnsi="Times New Roman"/>
                <w:sz w:val="24"/>
                <w:szCs w:val="24"/>
                <w:lang w:val="es-ES"/>
              </w:rPr>
              <w:t>finalidad perseguida por el legislador al asociar uno u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r w:rsidRPr="00D50AFD">
              <w:rPr>
                <w:rFonts w:ascii="Times New Roman" w:hAnsi="Times New Roman"/>
                <w:sz w:val="24"/>
                <w:szCs w:val="24"/>
                <w:lang w:val="es-ES"/>
              </w:rPr>
              <w:t>otro tipo de responsabilidad a una conducta determinada.</w:t>
            </w:r>
          </w:p>
          <w:p w:rsidR="00D50AFD" w:rsidRPr="00D50AFD" w:rsidRDefault="00D50AFD" w:rsidP="00D50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Décimo Noveno: [...] </w:t>
            </w:r>
            <w:r w:rsidRPr="00D50AFD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Es precisamente este precepto 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(art. 20 CP) </w:t>
            </w:r>
            <w:r w:rsidRPr="00D50AFD">
              <w:rPr>
                <w:rFonts w:ascii="Times New Roman" w:hAnsi="Times New Roman"/>
                <w:sz w:val="24"/>
                <w:szCs w:val="24"/>
                <w:lang w:val="es-ES"/>
              </w:rPr>
              <w:t>el que da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r w:rsidRPr="00D50AFD">
              <w:rPr>
                <w:rFonts w:ascii="Times New Roman" w:hAnsi="Times New Roman"/>
                <w:sz w:val="24"/>
                <w:szCs w:val="24"/>
                <w:lang w:val="es-ES"/>
              </w:rPr>
              <w:t>cuenta que las multas administrativas no se reputan penas,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r w:rsidRPr="00D50AFD">
              <w:rPr>
                <w:rFonts w:ascii="Times New Roman" w:hAnsi="Times New Roman"/>
                <w:sz w:val="24"/>
                <w:szCs w:val="24"/>
                <w:lang w:val="es-ES"/>
              </w:rPr>
              <w:t>antecedente que confirma que a ellas no se aplican los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r w:rsidRPr="00D50AFD">
              <w:rPr>
                <w:rFonts w:ascii="Times New Roman" w:hAnsi="Times New Roman"/>
                <w:sz w:val="24"/>
                <w:szCs w:val="24"/>
                <w:lang w:val="es-ES"/>
              </w:rPr>
              <w:t>principios del derecho penal con la misma intensidad,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r w:rsidRPr="00D50AFD">
              <w:rPr>
                <w:rFonts w:ascii="Times New Roman" w:hAnsi="Times New Roman"/>
                <w:sz w:val="24"/>
                <w:szCs w:val="24"/>
                <w:lang w:val="es-ES"/>
              </w:rPr>
              <w:t>desligados de la finalidad y naturaleza que dan a las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r w:rsidRPr="00D50AFD">
              <w:rPr>
                <w:rFonts w:ascii="Times New Roman" w:hAnsi="Times New Roman"/>
                <w:sz w:val="24"/>
                <w:szCs w:val="24"/>
                <w:lang w:val="es-ES"/>
              </w:rPr>
              <w:t>sanciones administrativas un cariz distinto. Así lo ha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r w:rsidRPr="00D50AFD">
              <w:rPr>
                <w:rFonts w:ascii="Times New Roman" w:hAnsi="Times New Roman"/>
                <w:sz w:val="24"/>
                <w:szCs w:val="24"/>
                <w:lang w:val="es-ES"/>
              </w:rPr>
              <w:t>resuelto esta Corte en reiteradas oportunidades, como en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r w:rsidRPr="00D50AFD">
              <w:rPr>
                <w:rFonts w:ascii="Times New Roman" w:hAnsi="Times New Roman"/>
                <w:sz w:val="24"/>
                <w:szCs w:val="24"/>
                <w:lang w:val="es-ES"/>
              </w:rPr>
              <w:t>los autos Nos. 1.079-2014 y 3.389-2015.</w:t>
            </w:r>
          </w:p>
          <w:p w:rsidR="00D50AFD" w:rsidRDefault="00D50AFD" w:rsidP="005D50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0AFD" w:rsidRDefault="0071100B" w:rsidP="00573B1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3D0C">
              <w:rPr>
                <w:rFonts w:ascii="Times New Roman" w:hAnsi="Times New Roman"/>
                <w:b/>
                <w:i/>
                <w:sz w:val="24"/>
                <w:szCs w:val="24"/>
              </w:rPr>
              <w:t>Sentencia de r</w:t>
            </w:r>
            <w:r w:rsidR="00282DCC" w:rsidRPr="00723D0C">
              <w:rPr>
                <w:rFonts w:ascii="Times New Roman" w:hAnsi="Times New Roman"/>
                <w:b/>
                <w:i/>
                <w:sz w:val="24"/>
                <w:szCs w:val="24"/>
              </w:rPr>
              <w:t>eemplazo</w:t>
            </w:r>
          </w:p>
          <w:p w:rsidR="00475491" w:rsidRDefault="00475491" w:rsidP="004754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La aplicación de los principios del derecho penal al DAS debe hacerse dentro de los márgenes del DAS: </w:t>
            </w:r>
          </w:p>
          <w:p w:rsidR="00475491" w:rsidRDefault="00475491" w:rsidP="004754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Noveno: </w:t>
            </w:r>
            <w:r w:rsidRPr="00475491">
              <w:rPr>
                <w:rFonts w:ascii="Times New Roman" w:hAnsi="Times New Roman"/>
                <w:sz w:val="24"/>
                <w:szCs w:val="24"/>
                <w:lang w:val="es-ES"/>
              </w:rPr>
              <w:t>Que, para efectuar tal análisis, es menester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r w:rsidRPr="00475491">
              <w:rPr>
                <w:rFonts w:ascii="Times New Roman" w:hAnsi="Times New Roman"/>
                <w:sz w:val="24"/>
                <w:szCs w:val="24"/>
                <w:lang w:val="es-ES"/>
              </w:rPr>
              <w:t>atender a la naturaleza propia de la sanción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r w:rsidRPr="00475491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administrativa. 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[...] </w:t>
            </w:r>
            <w:r w:rsidRPr="00475491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Sin embargo, nuestro país carece 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>d</w:t>
            </w:r>
            <w:r w:rsidRPr="00475491">
              <w:rPr>
                <w:rFonts w:ascii="Times New Roman" w:hAnsi="Times New Roman"/>
                <w:sz w:val="24"/>
                <w:szCs w:val="24"/>
                <w:lang w:val="es-ES"/>
              </w:rPr>
              <w:t>e una normativa general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r w:rsidRPr="00475491">
              <w:rPr>
                <w:rFonts w:ascii="Times New Roman" w:hAnsi="Times New Roman"/>
                <w:sz w:val="24"/>
                <w:szCs w:val="24"/>
                <w:lang w:val="es-ES"/>
              </w:rPr>
              <w:t>sobre el ámbito sancionatorio administrativo y responde la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r w:rsidRPr="00475491">
              <w:rPr>
                <w:rFonts w:ascii="Times New Roman" w:hAnsi="Times New Roman"/>
                <w:sz w:val="24"/>
                <w:szCs w:val="24"/>
                <w:lang w:val="es-ES"/>
              </w:rPr>
              <w:t>legislación, más bien, a un carácter sectorial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>.</w:t>
            </w:r>
          </w:p>
          <w:p w:rsidR="00FB6D1B" w:rsidRPr="00475491" w:rsidRDefault="00475491" w:rsidP="00D50AFD">
            <w:pPr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Décimo: </w:t>
            </w:r>
            <w:proofErr w:type="gramStart"/>
            <w:r w:rsidRPr="00475491">
              <w:rPr>
                <w:rFonts w:ascii="Times New Roman" w:hAnsi="Times New Roman"/>
                <w:sz w:val="24"/>
                <w:szCs w:val="24"/>
                <w:lang w:val="es-ES"/>
              </w:rPr>
              <w:t>Que</w:t>
            </w:r>
            <w:proofErr w:type="gramEnd"/>
            <w:r w:rsidRPr="00475491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no obstante, dicha carencia legislativa y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r w:rsidRPr="00475491">
              <w:rPr>
                <w:rFonts w:ascii="Times New Roman" w:hAnsi="Times New Roman"/>
                <w:sz w:val="24"/>
                <w:szCs w:val="24"/>
                <w:lang w:val="es-ES"/>
              </w:rPr>
              <w:t>el común origen de ambas sanciones no autorizan para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r w:rsidRPr="00475491">
              <w:rPr>
                <w:rFonts w:ascii="Times New Roman" w:hAnsi="Times New Roman"/>
                <w:sz w:val="24"/>
                <w:szCs w:val="24"/>
                <w:lang w:val="es-ES"/>
              </w:rPr>
              <w:t>aplicar de manera automática las normas y principios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r w:rsidRPr="00475491">
              <w:rPr>
                <w:rFonts w:ascii="Times New Roman" w:hAnsi="Times New Roman"/>
                <w:sz w:val="24"/>
                <w:szCs w:val="24"/>
                <w:lang w:val="es-ES"/>
              </w:rPr>
              <w:t>propios del derecho penal al derecho administrativo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r w:rsidRPr="00475491">
              <w:rPr>
                <w:rFonts w:ascii="Times New Roman" w:hAnsi="Times New Roman"/>
                <w:sz w:val="24"/>
                <w:szCs w:val="24"/>
                <w:lang w:val="es-ES"/>
              </w:rPr>
              <w:t>sancionador, sino que tal aplicación debe efectuarse dentro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r w:rsidRPr="00475491">
              <w:rPr>
                <w:rFonts w:ascii="Times New Roman" w:hAnsi="Times New Roman"/>
                <w:sz w:val="24"/>
                <w:szCs w:val="24"/>
                <w:lang w:val="es-ES"/>
              </w:rPr>
              <w:t>de los márgenes del procedimiento administrativo en general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r w:rsidRPr="00475491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y del sancionatorio en 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>p</w:t>
            </w:r>
            <w:r w:rsidRPr="00475491">
              <w:rPr>
                <w:rFonts w:ascii="Times New Roman" w:hAnsi="Times New Roman"/>
                <w:sz w:val="24"/>
                <w:szCs w:val="24"/>
                <w:lang w:val="es-ES"/>
              </w:rPr>
              <w:t>articular, sin perder de vista el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r w:rsidRPr="00475491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contexto que tuvo presente el legislador para optar 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>p</w:t>
            </w:r>
            <w:r w:rsidRPr="00475491">
              <w:rPr>
                <w:rFonts w:ascii="Times New Roman" w:hAnsi="Times New Roman"/>
                <w:sz w:val="24"/>
                <w:szCs w:val="24"/>
                <w:lang w:val="es-ES"/>
              </w:rPr>
              <w:t>or una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r w:rsidRPr="00475491">
              <w:rPr>
                <w:rFonts w:ascii="Times New Roman" w:hAnsi="Times New Roman"/>
                <w:sz w:val="24"/>
                <w:szCs w:val="24"/>
                <w:lang w:val="es-ES"/>
              </w:rPr>
              <w:t>u otra sanción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>.</w:t>
            </w:r>
            <w:r w:rsidR="001D13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B6D1B" w:rsidRPr="00C03D56" w:rsidTr="0027108F">
        <w:trPr>
          <w:trHeight w:val="6095"/>
        </w:trPr>
        <w:tc>
          <w:tcPr>
            <w:tcW w:w="567" w:type="dxa"/>
          </w:tcPr>
          <w:p w:rsidR="00FB6D1B" w:rsidRPr="00AE32CD" w:rsidRDefault="00FB6D1B" w:rsidP="005D50C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32C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14. </w:t>
            </w:r>
          </w:p>
        </w:tc>
        <w:tc>
          <w:tcPr>
            <w:tcW w:w="2127" w:type="dxa"/>
          </w:tcPr>
          <w:p w:rsidR="00FB6D1B" w:rsidRPr="00AE32CD" w:rsidRDefault="00FB6D1B" w:rsidP="005D50C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32CD">
              <w:rPr>
                <w:rFonts w:ascii="Times New Roman" w:hAnsi="Times New Roman"/>
                <w:b/>
                <w:sz w:val="24"/>
                <w:szCs w:val="24"/>
              </w:rPr>
              <w:t>Comentario</w:t>
            </w:r>
            <w:r w:rsidR="00D40549" w:rsidRPr="00AE32C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E32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21" w:type="dxa"/>
          </w:tcPr>
          <w:p w:rsidR="005D7B0D" w:rsidRDefault="00475491" w:rsidP="005D50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Nos parece adecuado </w:t>
            </w:r>
            <w:r w:rsidR="00F9609C" w:rsidRPr="00B05D73">
              <w:rPr>
                <w:rFonts w:ascii="Times New Roman" w:hAnsi="Times New Roman"/>
                <w:sz w:val="24"/>
                <w:szCs w:val="24"/>
              </w:rPr>
              <w:t xml:space="preserve">lo señalado por la CS en relación con que </w:t>
            </w:r>
            <w:r w:rsidR="004C66E0" w:rsidRPr="00B05D73">
              <w:rPr>
                <w:rFonts w:ascii="Times New Roman" w:hAnsi="Times New Roman"/>
                <w:sz w:val="24"/>
                <w:szCs w:val="24"/>
              </w:rPr>
              <w:t xml:space="preserve">los procedimientos administrativos </w:t>
            </w:r>
            <w:r w:rsidR="005D7B0D">
              <w:rPr>
                <w:rFonts w:ascii="Times New Roman" w:hAnsi="Times New Roman"/>
                <w:sz w:val="24"/>
                <w:szCs w:val="24"/>
              </w:rPr>
              <w:t>sancionatorios</w:t>
            </w:r>
            <w:r w:rsidR="004C66E0" w:rsidRPr="00B05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6B51" w:rsidRPr="00B05D73">
              <w:rPr>
                <w:rFonts w:ascii="Times New Roman" w:hAnsi="Times New Roman"/>
                <w:sz w:val="24"/>
                <w:szCs w:val="24"/>
              </w:rPr>
              <w:t>son diferentes a</w:t>
            </w:r>
            <w:r w:rsidR="00F9609C" w:rsidRPr="00B05D73">
              <w:rPr>
                <w:rFonts w:ascii="Times New Roman" w:hAnsi="Times New Roman"/>
                <w:sz w:val="24"/>
                <w:szCs w:val="24"/>
              </w:rPr>
              <w:t xml:space="preserve"> los procedimientos penales</w:t>
            </w:r>
            <w:r w:rsidR="00946B51" w:rsidRPr="00B05D73">
              <w:rPr>
                <w:rFonts w:ascii="Times New Roman" w:hAnsi="Times New Roman"/>
                <w:sz w:val="24"/>
                <w:szCs w:val="24"/>
              </w:rPr>
              <w:t>. Si bien ambos se encaminan a materializar la potestad sancionadora del Estado, se vinculan con presupuestos,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medios y finalidades diferentes</w:t>
            </w:r>
            <w:r w:rsidR="005D7B0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B33F9">
              <w:rPr>
                <w:rFonts w:ascii="Times New Roman" w:hAnsi="Times New Roman"/>
                <w:sz w:val="24"/>
                <w:szCs w:val="24"/>
              </w:rPr>
              <w:t>El</w:t>
            </w:r>
            <w:r w:rsidR="005D7B0D">
              <w:rPr>
                <w:rFonts w:ascii="Times New Roman" w:hAnsi="Times New Roman"/>
                <w:sz w:val="24"/>
                <w:szCs w:val="24"/>
              </w:rPr>
              <w:t xml:space="preserve"> DAS </w:t>
            </w:r>
            <w:r w:rsidR="007B33F9">
              <w:rPr>
                <w:rFonts w:ascii="Times New Roman" w:hAnsi="Times New Roman"/>
                <w:sz w:val="24"/>
                <w:szCs w:val="24"/>
              </w:rPr>
              <w:t>es</w:t>
            </w:r>
            <w:r w:rsidR="005D7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7B0D" w:rsidRPr="005D7B0D">
              <w:rPr>
                <w:rFonts w:ascii="Times New Roman" w:hAnsi="Times New Roman"/>
                <w:sz w:val="24"/>
                <w:szCs w:val="24"/>
              </w:rPr>
              <w:t>una</w:t>
            </w:r>
            <w:r w:rsidR="003C7FFA" w:rsidRPr="005D7B0D">
              <w:rPr>
                <w:rFonts w:ascii="Times New Roman" w:hAnsi="Times New Roman"/>
                <w:sz w:val="24"/>
                <w:szCs w:val="24"/>
              </w:rPr>
              <w:t xml:space="preserve"> disciplina distinta e individual, con sus propios principios, procedimientos, objetivos y </w:t>
            </w:r>
            <w:r w:rsidR="00B43116" w:rsidRPr="005D7B0D">
              <w:rPr>
                <w:rFonts w:ascii="Times New Roman" w:hAnsi="Times New Roman"/>
                <w:sz w:val="24"/>
                <w:szCs w:val="24"/>
              </w:rPr>
              <w:t xml:space="preserve">particularidades </w:t>
            </w:r>
            <w:r w:rsidR="005D7B0D" w:rsidRPr="005D7B0D">
              <w:rPr>
                <w:rFonts w:ascii="Times New Roman" w:hAnsi="Times New Roman"/>
                <w:sz w:val="24"/>
                <w:szCs w:val="24"/>
              </w:rPr>
              <w:t>(</w:t>
            </w:r>
            <w:r w:rsidR="00B43116" w:rsidRPr="005D7B0D">
              <w:rPr>
                <w:rFonts w:ascii="Times New Roman" w:hAnsi="Times New Roman"/>
                <w:sz w:val="24"/>
                <w:szCs w:val="24"/>
              </w:rPr>
              <w:t>como las figuras de la autodenuncia y los planes de cumplimiento</w:t>
            </w:r>
            <w:r w:rsidR="005D7B0D" w:rsidRPr="005D7B0D">
              <w:rPr>
                <w:rFonts w:ascii="Times New Roman" w:hAnsi="Times New Roman"/>
                <w:sz w:val="24"/>
                <w:szCs w:val="24"/>
              </w:rPr>
              <w:t xml:space="preserve">), que </w:t>
            </w:r>
            <w:r w:rsidR="007B33F9">
              <w:rPr>
                <w:rFonts w:ascii="Times New Roman" w:hAnsi="Times New Roman"/>
                <w:sz w:val="24"/>
                <w:szCs w:val="24"/>
              </w:rPr>
              <w:t>responden a</w:t>
            </w:r>
            <w:r w:rsidR="005D7B0D" w:rsidRPr="005D7B0D">
              <w:rPr>
                <w:rFonts w:ascii="Times New Roman" w:hAnsi="Times New Roman"/>
                <w:sz w:val="24"/>
                <w:szCs w:val="24"/>
              </w:rPr>
              <w:t xml:space="preserve"> una naturaleza distinta que la </w:t>
            </w:r>
            <w:r w:rsidR="007B33F9">
              <w:rPr>
                <w:rFonts w:ascii="Times New Roman" w:hAnsi="Times New Roman"/>
                <w:sz w:val="24"/>
                <w:szCs w:val="24"/>
              </w:rPr>
              <w:t>del Derecho Penal</w:t>
            </w:r>
            <w:r w:rsidR="00B43116" w:rsidRPr="005D7B0D">
              <w:rPr>
                <w:rFonts w:ascii="Times New Roman" w:hAnsi="Times New Roman"/>
                <w:sz w:val="24"/>
                <w:szCs w:val="24"/>
              </w:rPr>
              <w:t xml:space="preserve"> y </w:t>
            </w:r>
            <w:proofErr w:type="gramStart"/>
            <w:r w:rsidR="00B43116" w:rsidRPr="005D7B0D">
              <w:rPr>
                <w:rFonts w:ascii="Times New Roman" w:hAnsi="Times New Roman"/>
                <w:sz w:val="24"/>
                <w:szCs w:val="24"/>
              </w:rPr>
              <w:t>que</w:t>
            </w:r>
            <w:proofErr w:type="gramEnd"/>
            <w:r w:rsidR="00B43116" w:rsidRPr="005D7B0D">
              <w:rPr>
                <w:rFonts w:ascii="Times New Roman" w:hAnsi="Times New Roman"/>
                <w:sz w:val="24"/>
                <w:szCs w:val="24"/>
              </w:rPr>
              <w:t xml:space="preserve"> si debiéramos insertar en alguna rama del derecho, </w:t>
            </w:r>
            <w:r w:rsidR="007B33F9">
              <w:rPr>
                <w:rFonts w:ascii="Times New Roman" w:hAnsi="Times New Roman"/>
                <w:sz w:val="24"/>
                <w:szCs w:val="24"/>
              </w:rPr>
              <w:t>sería</w:t>
            </w:r>
            <w:r w:rsidR="00B43116" w:rsidRPr="005D7B0D">
              <w:rPr>
                <w:rFonts w:ascii="Times New Roman" w:hAnsi="Times New Roman"/>
                <w:sz w:val="24"/>
                <w:szCs w:val="24"/>
              </w:rPr>
              <w:t xml:space="preserve"> el derecho administrativo</w:t>
            </w:r>
            <w:r w:rsidR="005D7B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2A4C" w:rsidRDefault="005D7B0D" w:rsidP="005D50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Como han señalado algunos autores, la </w:t>
            </w:r>
            <w:r w:rsidRPr="007B33F9">
              <w:rPr>
                <w:rFonts w:ascii="Times New Roman" w:hAnsi="Times New Roman"/>
                <w:sz w:val="24"/>
                <w:szCs w:val="24"/>
              </w:rPr>
              <w:t>invocación de</w:t>
            </w:r>
            <w:r w:rsidR="00B43116" w:rsidRPr="007B33F9">
              <w:rPr>
                <w:rFonts w:ascii="Times New Roman" w:hAnsi="Times New Roman"/>
                <w:sz w:val="24"/>
                <w:szCs w:val="24"/>
              </w:rPr>
              <w:t xml:space="preserve"> los principios del derecho penal </w:t>
            </w:r>
            <w:r w:rsidRPr="007B33F9">
              <w:rPr>
                <w:rFonts w:ascii="Times New Roman" w:hAnsi="Times New Roman"/>
                <w:sz w:val="24"/>
                <w:szCs w:val="24"/>
              </w:rPr>
              <w:t xml:space="preserve">para el DAS </w:t>
            </w:r>
            <w:r w:rsidR="00B43116" w:rsidRPr="007B33F9">
              <w:rPr>
                <w:rFonts w:ascii="Times New Roman" w:hAnsi="Times New Roman"/>
                <w:sz w:val="24"/>
                <w:szCs w:val="24"/>
              </w:rPr>
              <w:t xml:space="preserve">se </w:t>
            </w:r>
            <w:r w:rsidRPr="007B33F9">
              <w:rPr>
                <w:rFonts w:ascii="Times New Roman" w:hAnsi="Times New Roman"/>
                <w:sz w:val="24"/>
                <w:szCs w:val="24"/>
              </w:rPr>
              <w:t>generó</w:t>
            </w:r>
            <w:r w:rsidR="00B43116" w:rsidRPr="007B33F9">
              <w:rPr>
                <w:rFonts w:ascii="Times New Roman" w:hAnsi="Times New Roman"/>
                <w:sz w:val="24"/>
                <w:szCs w:val="24"/>
              </w:rPr>
              <w:t xml:space="preserve"> a raíz de</w:t>
            </w:r>
            <w:r w:rsidRPr="007B33F9">
              <w:rPr>
                <w:rFonts w:ascii="Times New Roman" w:hAnsi="Times New Roman"/>
                <w:sz w:val="24"/>
                <w:szCs w:val="24"/>
              </w:rPr>
              <w:t xml:space="preserve"> la</w:t>
            </w:r>
            <w:r w:rsidR="00B43116" w:rsidRPr="007B3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33F9">
              <w:rPr>
                <w:rFonts w:ascii="Times New Roman" w:hAnsi="Times New Roman"/>
                <w:sz w:val="24"/>
                <w:szCs w:val="24"/>
              </w:rPr>
              <w:t>supuesta</w:t>
            </w:r>
            <w:r w:rsidR="004D74B1" w:rsidRPr="007B33F9">
              <w:rPr>
                <w:rFonts w:ascii="Times New Roman" w:hAnsi="Times New Roman"/>
                <w:sz w:val="24"/>
                <w:szCs w:val="24"/>
              </w:rPr>
              <w:t xml:space="preserve"> vinculación </w:t>
            </w:r>
            <w:r w:rsidRPr="007B33F9">
              <w:rPr>
                <w:rFonts w:ascii="Times New Roman" w:hAnsi="Times New Roman"/>
                <w:sz w:val="24"/>
                <w:szCs w:val="24"/>
              </w:rPr>
              <w:t xml:space="preserve">de ambos </w:t>
            </w:r>
            <w:r w:rsidR="004D74B1" w:rsidRPr="007B33F9">
              <w:rPr>
                <w:rFonts w:ascii="Times New Roman" w:hAnsi="Times New Roman"/>
                <w:sz w:val="24"/>
                <w:szCs w:val="24"/>
              </w:rPr>
              <w:t xml:space="preserve">con el </w:t>
            </w:r>
            <w:r w:rsidR="004D74B1" w:rsidRPr="007B33F9">
              <w:rPr>
                <w:rFonts w:ascii="Times New Roman" w:hAnsi="Times New Roman"/>
                <w:i/>
                <w:sz w:val="24"/>
                <w:szCs w:val="24"/>
              </w:rPr>
              <w:t>ius puniendi</w:t>
            </w:r>
            <w:r w:rsidR="004D74B1" w:rsidRPr="007B33F9">
              <w:rPr>
                <w:rFonts w:ascii="Times New Roman" w:hAnsi="Times New Roman"/>
                <w:sz w:val="24"/>
                <w:szCs w:val="24"/>
              </w:rPr>
              <w:t xml:space="preserve"> estatal, lo que </w:t>
            </w:r>
            <w:r w:rsidRPr="007B33F9">
              <w:rPr>
                <w:rFonts w:ascii="Times New Roman" w:hAnsi="Times New Roman"/>
                <w:sz w:val="24"/>
                <w:szCs w:val="24"/>
              </w:rPr>
              <w:t>se sumó a que el DAS</w:t>
            </w:r>
            <w:r w:rsidR="004D74B1" w:rsidRPr="007B3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33F9">
              <w:rPr>
                <w:rFonts w:ascii="Times New Roman" w:hAnsi="Times New Roman"/>
                <w:sz w:val="24"/>
                <w:szCs w:val="24"/>
              </w:rPr>
              <w:t xml:space="preserve">no </w:t>
            </w:r>
            <w:r w:rsidR="007B33F9" w:rsidRPr="007B33F9">
              <w:rPr>
                <w:rFonts w:ascii="Times New Roman" w:hAnsi="Times New Roman"/>
                <w:sz w:val="24"/>
                <w:szCs w:val="24"/>
              </w:rPr>
              <w:t>cuenta con</w:t>
            </w:r>
            <w:r w:rsidR="002834BB" w:rsidRPr="007B33F9">
              <w:rPr>
                <w:rFonts w:ascii="Times New Roman" w:hAnsi="Times New Roman"/>
                <w:sz w:val="24"/>
                <w:szCs w:val="24"/>
              </w:rPr>
              <w:t xml:space="preserve"> una regulación </w:t>
            </w:r>
            <w:r w:rsidR="007B33F9" w:rsidRPr="007B33F9">
              <w:rPr>
                <w:rFonts w:ascii="Times New Roman" w:hAnsi="Times New Roman"/>
                <w:sz w:val="24"/>
                <w:szCs w:val="24"/>
              </w:rPr>
              <w:t xml:space="preserve">general </w:t>
            </w:r>
            <w:r w:rsidR="002834BB" w:rsidRPr="007B33F9">
              <w:rPr>
                <w:rFonts w:ascii="Times New Roman" w:hAnsi="Times New Roman"/>
                <w:sz w:val="24"/>
                <w:szCs w:val="24"/>
              </w:rPr>
              <w:t>expresa, si</w:t>
            </w:r>
            <w:r w:rsidR="004D74B1" w:rsidRPr="007B33F9">
              <w:rPr>
                <w:rFonts w:ascii="Times New Roman" w:hAnsi="Times New Roman"/>
                <w:sz w:val="24"/>
                <w:szCs w:val="24"/>
              </w:rPr>
              <w:t xml:space="preserve">no que </w:t>
            </w:r>
            <w:r w:rsidR="007B33F9" w:rsidRPr="007B33F9">
              <w:rPr>
                <w:rFonts w:ascii="Times New Roman" w:hAnsi="Times New Roman"/>
                <w:sz w:val="24"/>
                <w:szCs w:val="24"/>
              </w:rPr>
              <w:t>está</w:t>
            </w:r>
            <w:r w:rsidR="004D74B1" w:rsidRPr="007B3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34BB" w:rsidRPr="007B33F9">
              <w:rPr>
                <w:rFonts w:ascii="Times New Roman" w:hAnsi="Times New Roman"/>
                <w:sz w:val="24"/>
                <w:szCs w:val="24"/>
              </w:rPr>
              <w:t>disgregada en diversos cuerpos jurídicos,</w:t>
            </w:r>
            <w:r w:rsidR="004D74B1" w:rsidRPr="007B33F9">
              <w:rPr>
                <w:rFonts w:ascii="Times New Roman" w:hAnsi="Times New Roman"/>
                <w:sz w:val="24"/>
                <w:szCs w:val="24"/>
              </w:rPr>
              <w:t xml:space="preserve"> con evidentes lagunas legislativas. Es </w:t>
            </w:r>
            <w:r w:rsidR="002834BB" w:rsidRPr="007B33F9">
              <w:rPr>
                <w:rFonts w:ascii="Times New Roman" w:hAnsi="Times New Roman"/>
                <w:sz w:val="24"/>
                <w:szCs w:val="24"/>
              </w:rPr>
              <w:t xml:space="preserve">por eso </w:t>
            </w:r>
            <w:proofErr w:type="gramStart"/>
            <w:r w:rsidR="004D74B1" w:rsidRPr="007B33F9">
              <w:rPr>
                <w:rFonts w:ascii="Times New Roman" w:hAnsi="Times New Roman"/>
                <w:sz w:val="24"/>
                <w:szCs w:val="24"/>
              </w:rPr>
              <w:t>que</w:t>
            </w:r>
            <w:proofErr w:type="gramEnd"/>
            <w:r w:rsidR="004D74B1" w:rsidRPr="007B3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33F9" w:rsidRPr="007B33F9">
              <w:rPr>
                <w:rFonts w:ascii="Times New Roman" w:hAnsi="Times New Roman"/>
                <w:sz w:val="24"/>
                <w:szCs w:val="24"/>
              </w:rPr>
              <w:t>el presente fallo</w:t>
            </w:r>
            <w:r w:rsidR="002834BB" w:rsidRPr="007B33F9">
              <w:rPr>
                <w:rFonts w:ascii="Times New Roman" w:hAnsi="Times New Roman"/>
                <w:sz w:val="24"/>
                <w:szCs w:val="24"/>
              </w:rPr>
              <w:t xml:space="preserve"> debe ser considerado </w:t>
            </w:r>
            <w:r w:rsidR="007B33F9">
              <w:rPr>
                <w:rFonts w:ascii="Times New Roman" w:hAnsi="Times New Roman"/>
                <w:sz w:val="24"/>
                <w:szCs w:val="24"/>
              </w:rPr>
              <w:t>relevante</w:t>
            </w:r>
            <w:r w:rsidR="002834BB" w:rsidRPr="007B33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B33F9">
              <w:rPr>
                <w:rFonts w:ascii="Times New Roman" w:hAnsi="Times New Roman"/>
                <w:sz w:val="24"/>
                <w:szCs w:val="24"/>
              </w:rPr>
              <w:t xml:space="preserve">pues da un paso en esta dirección </w:t>
            </w:r>
            <w:r w:rsidR="002834BB" w:rsidRPr="007B33F9">
              <w:rPr>
                <w:rFonts w:ascii="Times New Roman" w:hAnsi="Times New Roman"/>
                <w:sz w:val="24"/>
                <w:szCs w:val="24"/>
              </w:rPr>
              <w:t xml:space="preserve">al manifestar expresamente que son disciplinas o áreas distintas, con fines distintos, </w:t>
            </w:r>
            <w:r w:rsidR="00B625BC" w:rsidRPr="007B33F9">
              <w:rPr>
                <w:rFonts w:ascii="Times New Roman" w:hAnsi="Times New Roman"/>
                <w:sz w:val="24"/>
                <w:szCs w:val="24"/>
              </w:rPr>
              <w:t xml:space="preserve">y que la aplicación de </w:t>
            </w:r>
            <w:r w:rsidR="002834BB" w:rsidRPr="007B33F9">
              <w:rPr>
                <w:rFonts w:ascii="Times New Roman" w:hAnsi="Times New Roman"/>
                <w:sz w:val="24"/>
                <w:szCs w:val="24"/>
              </w:rPr>
              <w:t xml:space="preserve">principios del derecho penal no sólo debe ser </w:t>
            </w:r>
            <w:r w:rsidR="003B07CC" w:rsidRPr="007B33F9">
              <w:rPr>
                <w:rFonts w:ascii="Times New Roman" w:hAnsi="Times New Roman"/>
                <w:sz w:val="24"/>
                <w:szCs w:val="24"/>
              </w:rPr>
              <w:t>excepcional,</w:t>
            </w:r>
            <w:r w:rsidR="002834BB" w:rsidRPr="007B33F9">
              <w:rPr>
                <w:rFonts w:ascii="Times New Roman" w:hAnsi="Times New Roman"/>
                <w:sz w:val="24"/>
                <w:szCs w:val="24"/>
              </w:rPr>
              <w:t xml:space="preserve"> sino </w:t>
            </w:r>
            <w:r w:rsidR="00B625BC" w:rsidRPr="007B33F9">
              <w:rPr>
                <w:rFonts w:ascii="Times New Roman" w:hAnsi="Times New Roman"/>
                <w:sz w:val="24"/>
                <w:szCs w:val="24"/>
              </w:rPr>
              <w:t>que debe</w:t>
            </w:r>
            <w:r w:rsidR="002834BB" w:rsidRPr="007B3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33F9">
              <w:rPr>
                <w:rFonts w:ascii="Times New Roman" w:hAnsi="Times New Roman"/>
                <w:sz w:val="24"/>
                <w:szCs w:val="24"/>
              </w:rPr>
              <w:t>hacerse dentro de los márgenes del DAS y del derecho administrativo en general</w:t>
            </w:r>
            <w:r w:rsidR="004F2A4C" w:rsidRPr="007B33F9">
              <w:rPr>
                <w:rFonts w:ascii="Times New Roman" w:hAnsi="Times New Roman"/>
                <w:sz w:val="24"/>
                <w:szCs w:val="24"/>
              </w:rPr>
              <w:t>.</w:t>
            </w:r>
            <w:r w:rsidR="004F2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6B51" w:rsidRPr="00B05D73" w:rsidRDefault="007B33F9" w:rsidP="005D50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946B51" w:rsidRPr="00B05D73">
              <w:rPr>
                <w:rFonts w:ascii="Times New Roman" w:hAnsi="Times New Roman"/>
                <w:sz w:val="24"/>
                <w:szCs w:val="24"/>
              </w:rPr>
              <w:t xml:space="preserve">ara resolver la controversia </w:t>
            </w:r>
            <w:r>
              <w:rPr>
                <w:rFonts w:ascii="Times New Roman" w:hAnsi="Times New Roman"/>
                <w:sz w:val="24"/>
                <w:szCs w:val="24"/>
              </w:rPr>
              <w:t>la Corte</w:t>
            </w:r>
            <w:r w:rsidR="00946B51" w:rsidRPr="00B05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2A4C">
              <w:rPr>
                <w:rFonts w:ascii="Times New Roman" w:hAnsi="Times New Roman"/>
                <w:sz w:val="24"/>
                <w:szCs w:val="24"/>
              </w:rPr>
              <w:t>consider</w:t>
            </w:r>
            <w:r>
              <w:rPr>
                <w:rFonts w:ascii="Times New Roman" w:hAnsi="Times New Roman"/>
                <w:sz w:val="24"/>
                <w:szCs w:val="24"/>
              </w:rPr>
              <w:t>ó</w:t>
            </w:r>
            <w:r w:rsidR="004F2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6B51" w:rsidRPr="00B05D73">
              <w:rPr>
                <w:rFonts w:ascii="Times New Roman" w:hAnsi="Times New Roman"/>
                <w:sz w:val="24"/>
                <w:szCs w:val="24"/>
              </w:rPr>
              <w:t xml:space="preserve">necesario dilucidar la forma en que se manifiestan en el </w:t>
            </w:r>
            <w:r>
              <w:rPr>
                <w:rFonts w:ascii="Times New Roman" w:hAnsi="Times New Roman"/>
                <w:sz w:val="24"/>
                <w:szCs w:val="24"/>
              </w:rPr>
              <w:t>DAS</w:t>
            </w:r>
            <w:r w:rsidR="00475491">
              <w:rPr>
                <w:rFonts w:ascii="Times New Roman" w:hAnsi="Times New Roman"/>
                <w:sz w:val="24"/>
                <w:szCs w:val="24"/>
              </w:rPr>
              <w:t xml:space="preserve"> (y no en el Derecho Penal)</w:t>
            </w:r>
            <w:r w:rsidR="00946B51" w:rsidRPr="00B05D73">
              <w:rPr>
                <w:rFonts w:ascii="Times New Roman" w:hAnsi="Times New Roman"/>
                <w:sz w:val="24"/>
                <w:szCs w:val="24"/>
              </w:rPr>
              <w:t xml:space="preserve"> la obligación de fundamentar y el principio de proporcionalidad. </w:t>
            </w:r>
          </w:p>
          <w:p w:rsidR="007B33F9" w:rsidRDefault="007B33F9" w:rsidP="00340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 Corte decidió que</w:t>
            </w:r>
            <w:r w:rsidR="00A12374" w:rsidRPr="00B05D73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r w:rsidR="00946B51" w:rsidRPr="00B05D73">
              <w:rPr>
                <w:rFonts w:ascii="Times New Roman" w:hAnsi="Times New Roman"/>
                <w:sz w:val="24"/>
                <w:szCs w:val="24"/>
              </w:rPr>
              <w:t xml:space="preserve">SMA </w:t>
            </w:r>
            <w:r w:rsidR="00A12374" w:rsidRPr="00B05D73">
              <w:rPr>
                <w:rFonts w:ascii="Times New Roman" w:hAnsi="Times New Roman"/>
                <w:sz w:val="24"/>
                <w:szCs w:val="24"/>
              </w:rPr>
              <w:t>desarroll</w:t>
            </w:r>
            <w:r w:rsidR="00946B51" w:rsidRPr="00B05D73">
              <w:rPr>
                <w:rFonts w:ascii="Times New Roman" w:hAnsi="Times New Roman"/>
                <w:sz w:val="24"/>
                <w:szCs w:val="24"/>
              </w:rPr>
              <w:t>ó</w:t>
            </w:r>
            <w:r w:rsidR="00BC633B" w:rsidRPr="00B05D73">
              <w:rPr>
                <w:rFonts w:ascii="Times New Roman" w:hAnsi="Times New Roman"/>
                <w:sz w:val="24"/>
                <w:szCs w:val="24"/>
              </w:rPr>
              <w:t xml:space="preserve"> un procedimiento administrativo conforme a la l</w:t>
            </w:r>
            <w:r w:rsidR="00A12374" w:rsidRPr="00B05D73">
              <w:rPr>
                <w:rFonts w:ascii="Times New Roman" w:hAnsi="Times New Roman"/>
                <w:sz w:val="24"/>
                <w:szCs w:val="24"/>
              </w:rPr>
              <w:t>ey</w:t>
            </w:r>
            <w:r w:rsidR="00B05D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determinando</w:t>
            </w:r>
            <w:r w:rsidR="00CB59BA" w:rsidRPr="00B05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B59BA" w:rsidRPr="00B05D73">
              <w:rPr>
                <w:rFonts w:ascii="Times New Roman" w:hAnsi="Times New Roman"/>
                <w:sz w:val="24"/>
                <w:szCs w:val="24"/>
              </w:rPr>
              <w:t>de</w:t>
            </w:r>
            <w:r w:rsidR="00A12374" w:rsidRPr="00B05D73">
              <w:rPr>
                <w:rFonts w:ascii="Times New Roman" w:hAnsi="Times New Roman"/>
                <w:sz w:val="24"/>
                <w:szCs w:val="24"/>
              </w:rPr>
              <w:t xml:space="preserve"> acuerdo al</w:t>
            </w:r>
            <w:proofErr w:type="gramEnd"/>
            <w:r w:rsidR="00A12374" w:rsidRPr="00B05D73">
              <w:rPr>
                <w:rFonts w:ascii="Times New Roman" w:hAnsi="Times New Roman"/>
                <w:sz w:val="24"/>
                <w:szCs w:val="24"/>
              </w:rPr>
              <w:t xml:space="preserve"> mérito del mismo </w:t>
            </w:r>
            <w:r w:rsidR="00BC633B" w:rsidRPr="00B05D73">
              <w:rPr>
                <w:rFonts w:ascii="Times New Roman" w:hAnsi="Times New Roman"/>
                <w:sz w:val="24"/>
                <w:szCs w:val="24"/>
              </w:rPr>
              <w:t xml:space="preserve">la existencia de la infracción </w:t>
            </w:r>
            <w:r w:rsidR="00A12374" w:rsidRPr="00B05D73">
              <w:rPr>
                <w:rFonts w:ascii="Times New Roman" w:hAnsi="Times New Roman"/>
                <w:sz w:val="24"/>
                <w:szCs w:val="24"/>
              </w:rPr>
              <w:t>y</w:t>
            </w:r>
            <w:r w:rsidR="00BC633B" w:rsidRPr="00B05D73">
              <w:rPr>
                <w:rFonts w:ascii="Times New Roman" w:hAnsi="Times New Roman"/>
                <w:sz w:val="24"/>
                <w:szCs w:val="24"/>
              </w:rPr>
              <w:t>,</w:t>
            </w:r>
            <w:r w:rsidR="00A12374" w:rsidRPr="00B05D73">
              <w:rPr>
                <w:rFonts w:ascii="Times New Roman" w:hAnsi="Times New Roman"/>
                <w:sz w:val="24"/>
                <w:szCs w:val="24"/>
              </w:rPr>
              <w:t xml:space="preserve"> dentro de las </w:t>
            </w:r>
            <w:r w:rsidR="005A676D" w:rsidRPr="00B05D73">
              <w:rPr>
                <w:rFonts w:ascii="Times New Roman" w:hAnsi="Times New Roman"/>
                <w:sz w:val="24"/>
                <w:szCs w:val="24"/>
              </w:rPr>
              <w:t>facultades que</w:t>
            </w:r>
            <w:r w:rsidR="00A12374" w:rsidRPr="00B05D73">
              <w:rPr>
                <w:rFonts w:ascii="Times New Roman" w:hAnsi="Times New Roman"/>
                <w:sz w:val="24"/>
                <w:szCs w:val="24"/>
              </w:rPr>
              <w:t xml:space="preserve"> le </w:t>
            </w:r>
            <w:r w:rsidR="005A676D" w:rsidRPr="00B05D73">
              <w:rPr>
                <w:rFonts w:ascii="Times New Roman" w:hAnsi="Times New Roman"/>
                <w:sz w:val="24"/>
                <w:szCs w:val="24"/>
              </w:rPr>
              <w:t>franquea</w:t>
            </w:r>
            <w:r w:rsidR="00A12374" w:rsidRPr="00B05D73">
              <w:rPr>
                <w:rFonts w:ascii="Times New Roman" w:hAnsi="Times New Roman"/>
                <w:sz w:val="24"/>
                <w:szCs w:val="24"/>
              </w:rPr>
              <w:t xml:space="preserve"> la normativ</w:t>
            </w:r>
            <w:r w:rsidR="00BC633B" w:rsidRPr="00B05D73">
              <w:rPr>
                <w:rFonts w:ascii="Times New Roman" w:hAnsi="Times New Roman"/>
                <w:sz w:val="24"/>
                <w:szCs w:val="24"/>
              </w:rPr>
              <w:t xml:space="preserve">a según </w:t>
            </w:r>
            <w:r w:rsidR="00B05D73">
              <w:rPr>
                <w:rFonts w:ascii="Times New Roman" w:hAnsi="Times New Roman"/>
                <w:sz w:val="24"/>
                <w:szCs w:val="24"/>
              </w:rPr>
              <w:t>la</w:t>
            </w:r>
            <w:r w:rsidR="00BC633B" w:rsidRPr="00B05D73">
              <w:rPr>
                <w:rFonts w:ascii="Times New Roman" w:hAnsi="Times New Roman"/>
                <w:sz w:val="24"/>
                <w:szCs w:val="24"/>
              </w:rPr>
              <w:t xml:space="preserve"> calificación jurídica</w:t>
            </w:r>
            <w:r w:rsidR="00B05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5491">
              <w:rPr>
                <w:rFonts w:ascii="Times New Roman" w:hAnsi="Times New Roman"/>
                <w:sz w:val="24"/>
                <w:szCs w:val="24"/>
              </w:rPr>
              <w:t>que asignó a la</w:t>
            </w:r>
            <w:r w:rsidR="00B05D73">
              <w:rPr>
                <w:rFonts w:ascii="Times New Roman" w:hAnsi="Times New Roman"/>
                <w:sz w:val="24"/>
                <w:szCs w:val="24"/>
              </w:rPr>
              <w:t xml:space="preserve"> contravención</w:t>
            </w:r>
            <w:r w:rsidR="00BC633B" w:rsidRPr="00B05D73">
              <w:rPr>
                <w:rFonts w:ascii="Times New Roman" w:hAnsi="Times New Roman"/>
                <w:sz w:val="24"/>
                <w:szCs w:val="24"/>
              </w:rPr>
              <w:t>,</w:t>
            </w:r>
            <w:r w:rsidR="00A12374" w:rsidRPr="00B05D73">
              <w:rPr>
                <w:rFonts w:ascii="Times New Roman" w:hAnsi="Times New Roman"/>
                <w:sz w:val="24"/>
                <w:szCs w:val="24"/>
              </w:rPr>
              <w:t xml:space="preserve"> aplicó una sanción</w:t>
            </w:r>
            <w:r w:rsidR="00BC633B" w:rsidRPr="00B05D7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75491">
              <w:rPr>
                <w:rFonts w:ascii="Times New Roman" w:hAnsi="Times New Roman"/>
                <w:sz w:val="24"/>
                <w:szCs w:val="24"/>
              </w:rPr>
              <w:t>respetando</w:t>
            </w:r>
            <w:r w:rsidR="00BC633B" w:rsidRPr="00B05D73">
              <w:rPr>
                <w:rFonts w:ascii="Times New Roman" w:hAnsi="Times New Roman"/>
                <w:sz w:val="24"/>
                <w:szCs w:val="24"/>
              </w:rPr>
              <w:t xml:space="preserve"> el marco jurídico reglado)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razonable, de modo que respetó</w:t>
            </w:r>
            <w:r w:rsidR="00475491">
              <w:rPr>
                <w:rFonts w:ascii="Times New Roman" w:hAnsi="Times New Roman"/>
                <w:sz w:val="24"/>
                <w:szCs w:val="24"/>
              </w:rPr>
              <w:t xml:space="preserve"> el principio de proporcionalidad</w:t>
            </w:r>
            <w:r w:rsidR="00BC633B" w:rsidRPr="00B05D7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05D73" w:rsidRDefault="007B33F9" w:rsidP="003400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 otra parte, nos</w:t>
            </w:r>
            <w:r w:rsidR="00BC633B" w:rsidRPr="00B05D73">
              <w:rPr>
                <w:rFonts w:ascii="Times New Roman" w:hAnsi="Times New Roman"/>
                <w:sz w:val="24"/>
                <w:szCs w:val="24"/>
              </w:rPr>
              <w:t xml:space="preserve"> parece </w:t>
            </w:r>
            <w:r w:rsidR="00B05D73" w:rsidRPr="00B05D73">
              <w:rPr>
                <w:rFonts w:ascii="Times New Roman" w:hAnsi="Times New Roman"/>
                <w:sz w:val="24"/>
                <w:szCs w:val="24"/>
              </w:rPr>
              <w:t>sensata</w:t>
            </w:r>
            <w:r w:rsidR="00BC633B" w:rsidRPr="00B05D73">
              <w:rPr>
                <w:rFonts w:ascii="Times New Roman" w:hAnsi="Times New Roman"/>
                <w:sz w:val="24"/>
                <w:szCs w:val="24"/>
              </w:rPr>
              <w:t xml:space="preserve"> la solución </w:t>
            </w:r>
            <w:r>
              <w:rPr>
                <w:rFonts w:ascii="Times New Roman" w:hAnsi="Times New Roman"/>
                <w:sz w:val="24"/>
                <w:szCs w:val="24"/>
              </w:rPr>
              <w:t>que aplicó la</w:t>
            </w:r>
            <w:r w:rsidR="00BC633B" w:rsidRPr="00B05D73">
              <w:rPr>
                <w:rFonts w:ascii="Times New Roman" w:hAnsi="Times New Roman"/>
                <w:sz w:val="24"/>
                <w:szCs w:val="24"/>
              </w:rPr>
              <w:t xml:space="preserve"> CS en relación con la fundamentación de la “intencionalidad”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(motivación por referencia al fallo del 3º Tribunal Ambiental)</w:t>
            </w:r>
            <w:r w:rsidR="00BC633B" w:rsidRPr="00B05D73">
              <w:rPr>
                <w:rFonts w:ascii="Times New Roman" w:hAnsi="Times New Roman"/>
                <w:sz w:val="24"/>
                <w:szCs w:val="24"/>
              </w:rPr>
              <w:t xml:space="preserve">, especialmente porque al dictar ese acto la SMA cumplió una orden directa del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B05D73" w:rsidRPr="00B05D73">
              <w:rPr>
                <w:rFonts w:ascii="Times New Roman" w:hAnsi="Times New Roman"/>
                <w:sz w:val="24"/>
                <w:szCs w:val="24"/>
              </w:rPr>
              <w:t>ribunal</w:t>
            </w:r>
            <w:r w:rsidR="00BC633B" w:rsidRPr="00B05D73">
              <w:rPr>
                <w:rFonts w:ascii="Times New Roman" w:hAnsi="Times New Roman"/>
                <w:sz w:val="24"/>
                <w:szCs w:val="24"/>
              </w:rPr>
              <w:t>, en la que constaban todos los argumentos en virtud de los cuales fue expedida y que era conocida por ENDESA (que fue parte en ese procedimiento judicial).</w:t>
            </w:r>
            <w:r w:rsidR="00340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Por lo mismo</w:t>
            </w:r>
            <w:r w:rsidR="003400C7">
              <w:rPr>
                <w:rFonts w:ascii="Times New Roman" w:hAnsi="Times New Roman"/>
                <w:sz w:val="24"/>
                <w:szCs w:val="24"/>
              </w:rPr>
              <w:t xml:space="preserve">, no nos parece razonable la exigencia de </w:t>
            </w:r>
            <w:r w:rsidR="003400C7">
              <w:rPr>
                <w:rFonts w:ascii="Times New Roman" w:hAnsi="Times New Roman"/>
                <w:i/>
                <w:sz w:val="24"/>
                <w:szCs w:val="24"/>
              </w:rPr>
              <w:t xml:space="preserve">autosuficiencia formal </w:t>
            </w:r>
            <w:r w:rsidR="003400C7">
              <w:rPr>
                <w:rFonts w:ascii="Times New Roman" w:hAnsi="Times New Roman"/>
                <w:sz w:val="24"/>
                <w:szCs w:val="24"/>
              </w:rPr>
              <w:t>reclamada por ENDESA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para los actos administrativos</w:t>
            </w:r>
            <w:r w:rsidR="003400C7">
              <w:rPr>
                <w:rFonts w:ascii="Times New Roman" w:hAnsi="Times New Roman"/>
                <w:sz w:val="24"/>
                <w:szCs w:val="24"/>
              </w:rPr>
              <w:t xml:space="preserve"> y correctamente desechada por la CS.</w:t>
            </w:r>
          </w:p>
          <w:p w:rsidR="004F2A4C" w:rsidRPr="00B05D73" w:rsidRDefault="004F2A4C" w:rsidP="001A6B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Por último, </w:t>
            </w:r>
            <w:r w:rsidR="001A6BD0">
              <w:rPr>
                <w:rFonts w:ascii="Times New Roman" w:hAnsi="Times New Roman"/>
                <w:sz w:val="24"/>
                <w:szCs w:val="24"/>
              </w:rPr>
              <w:t xml:space="preserve">es posible desprender del caso </w:t>
            </w:r>
            <w:r>
              <w:rPr>
                <w:rFonts w:ascii="Times New Roman" w:hAnsi="Times New Roman"/>
                <w:sz w:val="24"/>
                <w:szCs w:val="24"/>
              </w:rPr>
              <w:t>que el objetivo de ampliar los criterios</w:t>
            </w:r>
            <w:r w:rsidR="001A6BD0">
              <w:rPr>
                <w:rFonts w:ascii="Times New Roman" w:hAnsi="Times New Roman"/>
                <w:sz w:val="24"/>
                <w:szCs w:val="24"/>
              </w:rPr>
              <w:t xml:space="preserve"> y principios del derecho penal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es elevar </w:t>
            </w:r>
            <w:r w:rsidR="001A6BD0">
              <w:rPr>
                <w:rFonts w:ascii="Times New Roman" w:hAnsi="Times New Roman"/>
                <w:sz w:val="24"/>
                <w:szCs w:val="24"/>
              </w:rPr>
              <w:t>las exigencias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r w:rsidR="001A6BD0">
              <w:rPr>
                <w:rFonts w:ascii="Times New Roman" w:hAnsi="Times New Roman"/>
                <w:sz w:val="24"/>
                <w:szCs w:val="24"/>
              </w:rPr>
              <w:t>la fiscalización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6BD0">
              <w:rPr>
                <w:rFonts w:ascii="Times New Roman" w:hAnsi="Times New Roman"/>
                <w:sz w:val="24"/>
                <w:szCs w:val="24"/>
              </w:rPr>
              <w:t>(ampliando</w:t>
            </w:r>
            <w:r w:rsidR="00B625BC">
              <w:rPr>
                <w:rFonts w:ascii="Times New Roman" w:hAnsi="Times New Roman"/>
                <w:sz w:val="24"/>
                <w:szCs w:val="24"/>
              </w:rPr>
              <w:t xml:space="preserve"> las garantías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de los </w:t>
            </w:r>
            <w:r w:rsidR="00B625BC">
              <w:rPr>
                <w:rFonts w:ascii="Times New Roman" w:hAnsi="Times New Roman"/>
                <w:sz w:val="24"/>
                <w:szCs w:val="24"/>
              </w:rPr>
              <w:t>privados</w:t>
            </w:r>
            <w:r w:rsidR="001A6BD0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 c</w:t>
            </w:r>
            <w:r w:rsidR="00B625BC">
              <w:rPr>
                <w:rFonts w:ascii="Times New Roman" w:hAnsi="Times New Roman"/>
                <w:sz w:val="24"/>
                <w:szCs w:val="24"/>
              </w:rPr>
              <w:t xml:space="preserve">omo si el sentido de </w:t>
            </w:r>
            <w:r w:rsidR="001A6BD0">
              <w:rPr>
                <w:rFonts w:ascii="Times New Roman" w:hAnsi="Times New Roman"/>
                <w:sz w:val="24"/>
                <w:szCs w:val="24"/>
              </w:rPr>
              <w:t>esta</w:t>
            </w:r>
            <w:r w:rsidR="00B625BC">
              <w:rPr>
                <w:rFonts w:ascii="Times New Roman" w:hAnsi="Times New Roman"/>
                <w:sz w:val="24"/>
                <w:szCs w:val="24"/>
              </w:rPr>
              <w:t xml:space="preserve"> fuer</w:t>
            </w:r>
            <w:r w:rsidR="001A6BD0">
              <w:rPr>
                <w:rFonts w:ascii="Times New Roman" w:hAnsi="Times New Roman"/>
                <w:sz w:val="24"/>
                <w:szCs w:val="24"/>
              </w:rPr>
              <w:t>a castigar o sancionar.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6BD0">
              <w:rPr>
                <w:rFonts w:ascii="Times New Roman" w:hAnsi="Times New Roman"/>
                <w:sz w:val="24"/>
                <w:szCs w:val="24"/>
              </w:rPr>
              <w:t xml:space="preserve">Este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criterio no es compartido por </w:t>
            </w:r>
            <w:r w:rsidR="001A6BD0">
              <w:rPr>
                <w:rFonts w:ascii="Times New Roman" w:hAnsi="Times New Roman"/>
                <w:sz w:val="24"/>
                <w:szCs w:val="24"/>
              </w:rPr>
              <w:t>la CS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A6BD0">
              <w:rPr>
                <w:rFonts w:ascii="Times New Roman" w:hAnsi="Times New Roman"/>
                <w:sz w:val="24"/>
                <w:szCs w:val="24"/>
              </w:rPr>
              <w:t>que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entiende que esta disciplina tiene como objeto </w:t>
            </w:r>
            <w:r w:rsidR="00B625BC">
              <w:rPr>
                <w:rFonts w:ascii="Times New Roman" w:hAnsi="Times New Roman"/>
                <w:sz w:val="24"/>
                <w:szCs w:val="24"/>
              </w:rPr>
              <w:t xml:space="preserve">el </w:t>
            </w:r>
            <w:r w:rsidR="001A6BD0">
              <w:rPr>
                <w:rFonts w:ascii="Times New Roman" w:hAnsi="Times New Roman"/>
                <w:sz w:val="24"/>
                <w:szCs w:val="24"/>
              </w:rPr>
              <w:t>unificar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el comportamiento de las personas, en miras al resguardo de un bien jurídico común, es decir</w:t>
            </w:r>
            <w:r w:rsidR="00B625B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alienar conductas, educar o prevenir, y no sancionar</w:t>
            </w:r>
            <w:r w:rsidR="005A764F">
              <w:rPr>
                <w:rFonts w:ascii="Times New Roman" w:hAnsi="Times New Roman"/>
                <w:sz w:val="24"/>
                <w:szCs w:val="24"/>
              </w:rPr>
              <w:t xml:space="preserve">; conclusión que se </w:t>
            </w:r>
            <w:r w:rsidR="005C59AD">
              <w:rPr>
                <w:rFonts w:ascii="Times New Roman" w:hAnsi="Times New Roman"/>
                <w:sz w:val="24"/>
                <w:szCs w:val="24"/>
              </w:rPr>
              <w:t xml:space="preserve">desprende </w:t>
            </w:r>
            <w:r w:rsidR="005A764F">
              <w:rPr>
                <w:rFonts w:ascii="Times New Roman" w:hAnsi="Times New Roman"/>
                <w:sz w:val="24"/>
                <w:szCs w:val="24"/>
              </w:rPr>
              <w:t xml:space="preserve">además </w:t>
            </w:r>
            <w:r w:rsidR="001A6BD0">
              <w:rPr>
                <w:rFonts w:ascii="Times New Roman" w:hAnsi="Times New Roman"/>
                <w:sz w:val="24"/>
                <w:szCs w:val="24"/>
              </w:rPr>
              <w:t xml:space="preserve">de lo dicho por la CS en el sentido </w:t>
            </w:r>
            <w:r w:rsidR="005A764F">
              <w:rPr>
                <w:rFonts w:ascii="Times New Roman" w:hAnsi="Times New Roman"/>
                <w:sz w:val="24"/>
                <w:szCs w:val="24"/>
              </w:rPr>
              <w:t xml:space="preserve">que una determinada conducta puede tener una sanción penal o administrativa, </w:t>
            </w:r>
            <w:r w:rsidR="001A6BD0">
              <w:rPr>
                <w:rFonts w:ascii="Times New Roman" w:hAnsi="Times New Roman"/>
                <w:sz w:val="24"/>
                <w:szCs w:val="24"/>
              </w:rPr>
              <w:t xml:space="preserve">según el objetivo buscado por el legislador </w:t>
            </w:r>
            <w:r w:rsidR="005A764F">
              <w:rPr>
                <w:rFonts w:ascii="Times New Roman" w:hAnsi="Times New Roman"/>
                <w:sz w:val="24"/>
                <w:szCs w:val="24"/>
              </w:rPr>
              <w:t>para lograr el bienestar social.</w:t>
            </w:r>
          </w:p>
        </w:tc>
      </w:tr>
    </w:tbl>
    <w:p w:rsidR="00255F28" w:rsidRDefault="00255F28" w:rsidP="00AE32CD">
      <w:pPr>
        <w:jc w:val="right"/>
      </w:pPr>
    </w:p>
    <w:sectPr w:rsidR="00255F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B36" w:rsidRDefault="00BA5B36" w:rsidP="00E9758A">
      <w:pPr>
        <w:spacing w:after="0" w:line="240" w:lineRule="auto"/>
      </w:pPr>
      <w:r>
        <w:separator/>
      </w:r>
    </w:p>
  </w:endnote>
  <w:endnote w:type="continuationSeparator" w:id="0">
    <w:p w:rsidR="00BA5B36" w:rsidRDefault="00BA5B36" w:rsidP="00E97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B36" w:rsidRDefault="00BA5B36" w:rsidP="00E9758A">
      <w:pPr>
        <w:spacing w:after="0" w:line="240" w:lineRule="auto"/>
      </w:pPr>
      <w:r>
        <w:separator/>
      </w:r>
    </w:p>
  </w:footnote>
  <w:footnote w:type="continuationSeparator" w:id="0">
    <w:p w:rsidR="00BA5B36" w:rsidRDefault="00BA5B36" w:rsidP="00E97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33B32"/>
    <w:multiLevelType w:val="multilevel"/>
    <w:tmpl w:val="32765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AEB1AD1"/>
    <w:multiLevelType w:val="hybridMultilevel"/>
    <w:tmpl w:val="C9401918"/>
    <w:lvl w:ilvl="0" w:tplc="D278CF56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D1B"/>
    <w:rsid w:val="00022F5C"/>
    <w:rsid w:val="000803E3"/>
    <w:rsid w:val="000C7B64"/>
    <w:rsid w:val="00150F92"/>
    <w:rsid w:val="001A6BD0"/>
    <w:rsid w:val="001D13F8"/>
    <w:rsid w:val="00220323"/>
    <w:rsid w:val="00227939"/>
    <w:rsid w:val="002465A3"/>
    <w:rsid w:val="00255F28"/>
    <w:rsid w:val="002701DC"/>
    <w:rsid w:val="0027108F"/>
    <w:rsid w:val="00282DCC"/>
    <w:rsid w:val="002834BB"/>
    <w:rsid w:val="00284E36"/>
    <w:rsid w:val="002C796E"/>
    <w:rsid w:val="003400C7"/>
    <w:rsid w:val="003403D3"/>
    <w:rsid w:val="003B07CC"/>
    <w:rsid w:val="003C7FFA"/>
    <w:rsid w:val="003F3CDD"/>
    <w:rsid w:val="00407A26"/>
    <w:rsid w:val="0044711A"/>
    <w:rsid w:val="0045062B"/>
    <w:rsid w:val="00451783"/>
    <w:rsid w:val="00475491"/>
    <w:rsid w:val="00486BFD"/>
    <w:rsid w:val="004C4CC8"/>
    <w:rsid w:val="004C66E0"/>
    <w:rsid w:val="004D74B1"/>
    <w:rsid w:val="004F2A4C"/>
    <w:rsid w:val="00533397"/>
    <w:rsid w:val="00573B12"/>
    <w:rsid w:val="005A676D"/>
    <w:rsid w:val="005A764F"/>
    <w:rsid w:val="005C59AD"/>
    <w:rsid w:val="005D50CB"/>
    <w:rsid w:val="005D7B0D"/>
    <w:rsid w:val="00627E3F"/>
    <w:rsid w:val="006520D4"/>
    <w:rsid w:val="006E21ED"/>
    <w:rsid w:val="006E4FFF"/>
    <w:rsid w:val="0071100B"/>
    <w:rsid w:val="00721C26"/>
    <w:rsid w:val="00723D0C"/>
    <w:rsid w:val="00740BD9"/>
    <w:rsid w:val="00741D39"/>
    <w:rsid w:val="0075245C"/>
    <w:rsid w:val="00775595"/>
    <w:rsid w:val="007B33F9"/>
    <w:rsid w:val="007C71E6"/>
    <w:rsid w:val="007D54E9"/>
    <w:rsid w:val="007F63B8"/>
    <w:rsid w:val="0083112C"/>
    <w:rsid w:val="009045B7"/>
    <w:rsid w:val="00946B51"/>
    <w:rsid w:val="009823F4"/>
    <w:rsid w:val="009D71E1"/>
    <w:rsid w:val="00A12374"/>
    <w:rsid w:val="00A15050"/>
    <w:rsid w:val="00A7076D"/>
    <w:rsid w:val="00AE32CD"/>
    <w:rsid w:val="00B05D73"/>
    <w:rsid w:val="00B43116"/>
    <w:rsid w:val="00B625BC"/>
    <w:rsid w:val="00BA5B36"/>
    <w:rsid w:val="00BC633B"/>
    <w:rsid w:val="00C02F23"/>
    <w:rsid w:val="00C1027C"/>
    <w:rsid w:val="00C12B64"/>
    <w:rsid w:val="00CB59BA"/>
    <w:rsid w:val="00D12A51"/>
    <w:rsid w:val="00D40549"/>
    <w:rsid w:val="00D425D9"/>
    <w:rsid w:val="00D503C9"/>
    <w:rsid w:val="00D50AFD"/>
    <w:rsid w:val="00D70192"/>
    <w:rsid w:val="00DA4A79"/>
    <w:rsid w:val="00DA6511"/>
    <w:rsid w:val="00E35C58"/>
    <w:rsid w:val="00E40F5E"/>
    <w:rsid w:val="00E51B6E"/>
    <w:rsid w:val="00E9758A"/>
    <w:rsid w:val="00EB5FCB"/>
    <w:rsid w:val="00F31EB9"/>
    <w:rsid w:val="00F32545"/>
    <w:rsid w:val="00F41E5E"/>
    <w:rsid w:val="00F57D6E"/>
    <w:rsid w:val="00F73300"/>
    <w:rsid w:val="00F9609C"/>
    <w:rsid w:val="00FB6D1B"/>
    <w:rsid w:val="00FE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006F7-8DE2-4056-A014-71786CF4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6D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6D1B"/>
    <w:pPr>
      <w:ind w:left="720"/>
      <w:contextualSpacing/>
    </w:pPr>
  </w:style>
  <w:style w:type="table" w:styleId="Tablaconcuadrcula">
    <w:name w:val="Table Grid"/>
    <w:basedOn w:val="Tablanormal"/>
    <w:uiPriority w:val="39"/>
    <w:rsid w:val="00FB6D1B"/>
    <w:pPr>
      <w:spacing w:after="0" w:line="240" w:lineRule="auto"/>
    </w:pPr>
    <w:rPr>
      <w:rFonts w:ascii="Calibri" w:eastAsia="Calibri" w:hAnsi="Calibri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975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758A"/>
  </w:style>
  <w:style w:type="paragraph" w:styleId="Piedepgina">
    <w:name w:val="footer"/>
    <w:basedOn w:val="Normal"/>
    <w:link w:val="PiedepginaCar"/>
    <w:uiPriority w:val="99"/>
    <w:unhideWhenUsed/>
    <w:rsid w:val="00E975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758A"/>
  </w:style>
  <w:style w:type="paragraph" w:styleId="Textodeglobo">
    <w:name w:val="Balloon Text"/>
    <w:basedOn w:val="Normal"/>
    <w:link w:val="TextodegloboCar"/>
    <w:uiPriority w:val="99"/>
    <w:semiHidden/>
    <w:unhideWhenUsed/>
    <w:rsid w:val="005D7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1085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de Impuestos Internos</Company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Mauricio Carrasco Campos</dc:creator>
  <cp:keywords/>
  <dc:description/>
  <cp:lastModifiedBy>Cristóbal Osorio</cp:lastModifiedBy>
  <cp:revision>2</cp:revision>
  <dcterms:created xsi:type="dcterms:W3CDTF">2019-09-23T14:15:00Z</dcterms:created>
  <dcterms:modified xsi:type="dcterms:W3CDTF">2019-09-23T14:15:00Z</dcterms:modified>
</cp:coreProperties>
</file>