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FC2" w:rsidRDefault="009B7FC2" w:rsidP="005A4BAA">
      <w:pPr>
        <w:jc w:val="both"/>
      </w:pPr>
      <w:bookmarkStart w:id="0" w:name="_GoBack"/>
      <w:bookmarkEnd w:id="0"/>
    </w:p>
    <w:p w:rsidR="009B7FC2" w:rsidRDefault="009B7FC2" w:rsidP="005A4BAA">
      <w:pPr>
        <w:ind w:left="-851"/>
        <w:jc w:val="both"/>
        <w:rPr>
          <w:rFonts w:ascii="Times New Roman" w:hAnsi="Times New Roman" w:cs="Times New Roman"/>
        </w:rPr>
      </w:pPr>
      <w:r w:rsidRPr="00A44288">
        <w:rPr>
          <w:rFonts w:ascii="Times New Roman" w:hAnsi="Times New Roman" w:cs="Times New Roman"/>
          <w:b/>
          <w:bCs/>
        </w:rPr>
        <w:t>Profesor:</w:t>
      </w:r>
      <w:r>
        <w:rPr>
          <w:rFonts w:ascii="Times New Roman" w:hAnsi="Times New Roman" w:cs="Times New Roman"/>
        </w:rPr>
        <w:t xml:space="preserve"> Cristóbal Osorio Vargas.</w:t>
      </w:r>
    </w:p>
    <w:p w:rsidR="00A44288" w:rsidRDefault="00A44288" w:rsidP="005A4BAA">
      <w:pPr>
        <w:ind w:left="-851"/>
        <w:jc w:val="both"/>
        <w:rPr>
          <w:rFonts w:ascii="Times New Roman" w:hAnsi="Times New Roman" w:cs="Times New Roman"/>
        </w:rPr>
      </w:pPr>
      <w:r w:rsidRPr="00A44288">
        <w:rPr>
          <w:rFonts w:ascii="Times New Roman" w:hAnsi="Times New Roman" w:cs="Times New Roman"/>
          <w:b/>
          <w:bCs/>
        </w:rPr>
        <w:t>Alumnos:</w:t>
      </w:r>
      <w:r>
        <w:rPr>
          <w:rFonts w:ascii="Times New Roman" w:hAnsi="Times New Roman" w:cs="Times New Roman"/>
        </w:rPr>
        <w:t xml:space="preserve"> María Jesús Correa García. / Víctor Alfonso Bobadilla Rodríguez.</w:t>
      </w:r>
    </w:p>
    <w:p w:rsidR="00B846DC" w:rsidRDefault="009B7FC2" w:rsidP="005A4BAA">
      <w:pPr>
        <w:ind w:left="-851"/>
        <w:jc w:val="both"/>
        <w:rPr>
          <w:rFonts w:ascii="Times New Roman" w:hAnsi="Times New Roman" w:cs="Times New Roman"/>
          <w:b/>
          <w:bCs/>
        </w:rPr>
      </w:pPr>
      <w:r w:rsidRPr="00A44288">
        <w:rPr>
          <w:rFonts w:ascii="Times New Roman" w:hAnsi="Times New Roman" w:cs="Times New Roman"/>
          <w:b/>
          <w:bCs/>
        </w:rPr>
        <w:t xml:space="preserve">Ficha caso Grupo 1: </w:t>
      </w:r>
    </w:p>
    <w:tbl>
      <w:tblPr>
        <w:tblStyle w:val="Tablaconcuadrcula"/>
        <w:tblW w:w="0" w:type="auto"/>
        <w:tblInd w:w="-856" w:type="dxa"/>
        <w:tblLook w:val="04A0" w:firstRow="1" w:lastRow="0" w:firstColumn="1" w:lastColumn="0" w:noHBand="0" w:noVBand="1"/>
      </w:tblPr>
      <w:tblGrid>
        <w:gridCol w:w="516"/>
        <w:gridCol w:w="1753"/>
        <w:gridCol w:w="8454"/>
      </w:tblGrid>
      <w:tr w:rsidR="00A44288" w:rsidRPr="00A44288" w:rsidTr="005A4BAA">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1.</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 xml:space="preserve">Caso </w:t>
            </w:r>
          </w:p>
        </w:tc>
        <w:tc>
          <w:tcPr>
            <w:tcW w:w="8454" w:type="dxa"/>
          </w:tcPr>
          <w:p w:rsidR="00A44288" w:rsidRPr="00A44288" w:rsidRDefault="00465B4A" w:rsidP="005A4BAA">
            <w:pPr>
              <w:jc w:val="both"/>
              <w:rPr>
                <w:rFonts w:ascii="Times New Roman" w:hAnsi="Times New Roman"/>
                <w:sz w:val="24"/>
                <w:szCs w:val="24"/>
              </w:rPr>
            </w:pPr>
            <w:r w:rsidRPr="00465B4A">
              <w:rPr>
                <w:rFonts w:ascii="Times New Roman" w:hAnsi="Times New Roman"/>
                <w:sz w:val="24"/>
                <w:szCs w:val="24"/>
              </w:rPr>
              <w:t>Potestad sancionadora:</w:t>
            </w:r>
            <w:r w:rsidR="00986475">
              <w:rPr>
                <w:rFonts w:ascii="Times New Roman" w:hAnsi="Times New Roman"/>
                <w:sz w:val="24"/>
                <w:szCs w:val="24"/>
              </w:rPr>
              <w:t xml:space="preserve"> </w:t>
            </w:r>
            <w:r w:rsidRPr="00465B4A">
              <w:rPr>
                <w:rFonts w:ascii="Times New Roman" w:hAnsi="Times New Roman"/>
                <w:sz w:val="24"/>
                <w:szCs w:val="24"/>
                <w:lang w:val="es-CL"/>
              </w:rPr>
              <w:t xml:space="preserve">Sociedad Educacional Cardenas Gallardo Ltda. </w:t>
            </w:r>
            <w:r>
              <w:rPr>
                <w:rFonts w:ascii="Times New Roman" w:hAnsi="Times New Roman"/>
                <w:sz w:val="24"/>
                <w:szCs w:val="24"/>
                <w:lang w:val="es-CL"/>
              </w:rPr>
              <w:t>c</w:t>
            </w:r>
            <w:r w:rsidRPr="00465B4A">
              <w:rPr>
                <w:rFonts w:ascii="Times New Roman" w:hAnsi="Times New Roman"/>
                <w:sz w:val="24"/>
                <w:szCs w:val="24"/>
                <w:lang w:val="es-CL"/>
              </w:rPr>
              <w:t xml:space="preserve">ontra </w:t>
            </w:r>
            <w:r>
              <w:rPr>
                <w:rFonts w:ascii="Times New Roman" w:hAnsi="Times New Roman"/>
                <w:sz w:val="24"/>
                <w:szCs w:val="24"/>
                <w:lang w:val="es-CL"/>
              </w:rPr>
              <w:t>S</w:t>
            </w:r>
            <w:r w:rsidRPr="00465B4A">
              <w:rPr>
                <w:rFonts w:ascii="Times New Roman" w:hAnsi="Times New Roman"/>
                <w:sz w:val="24"/>
                <w:szCs w:val="24"/>
                <w:lang w:val="es-CL"/>
              </w:rPr>
              <w:t xml:space="preserve">uperintendencia </w:t>
            </w:r>
            <w:r>
              <w:rPr>
                <w:rFonts w:ascii="Times New Roman" w:hAnsi="Times New Roman"/>
                <w:sz w:val="24"/>
                <w:szCs w:val="24"/>
                <w:lang w:val="es-CL"/>
              </w:rPr>
              <w:t>d</w:t>
            </w:r>
            <w:r w:rsidRPr="00465B4A">
              <w:rPr>
                <w:rFonts w:ascii="Times New Roman" w:hAnsi="Times New Roman"/>
                <w:sz w:val="24"/>
                <w:szCs w:val="24"/>
                <w:lang w:val="es-CL"/>
              </w:rPr>
              <w:t>e Educación</w:t>
            </w:r>
            <w:r>
              <w:rPr>
                <w:rFonts w:ascii="Times New Roman" w:hAnsi="Times New Roman"/>
                <w:sz w:val="24"/>
                <w:szCs w:val="24"/>
                <w:lang w:val="es-CL"/>
              </w:rPr>
              <w:t xml:space="preserve">. </w:t>
            </w:r>
          </w:p>
        </w:tc>
      </w:tr>
      <w:tr w:rsidR="00A44288" w:rsidRPr="00A44288" w:rsidTr="005A4BAA">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 xml:space="preserve">2. </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Pregunta jurídica del caso</w:t>
            </w:r>
          </w:p>
        </w:tc>
        <w:tc>
          <w:tcPr>
            <w:tcW w:w="8454" w:type="dxa"/>
          </w:tcPr>
          <w:p w:rsidR="005954E6" w:rsidRPr="005954E6" w:rsidRDefault="0026212B" w:rsidP="005A4BAA">
            <w:pPr>
              <w:jc w:val="both"/>
              <w:rPr>
                <w:rFonts w:ascii="Times New Roman" w:hAnsi="Times New Roman"/>
                <w:b/>
                <w:bCs/>
                <w:sz w:val="24"/>
                <w:szCs w:val="24"/>
              </w:rPr>
            </w:pPr>
            <w:r>
              <w:rPr>
                <w:rFonts w:ascii="Times New Roman" w:hAnsi="Times New Roman"/>
                <w:sz w:val="24"/>
                <w:szCs w:val="24"/>
              </w:rPr>
              <w:t xml:space="preserve">La Superintendencia de Educación, al hacer uso de su potestad sancionadora </w:t>
            </w:r>
            <w:r w:rsidRPr="0026212B">
              <w:rPr>
                <w:rFonts w:ascii="Times New Roman" w:hAnsi="Times New Roman"/>
                <w:b/>
                <w:bCs/>
                <w:sz w:val="24"/>
                <w:szCs w:val="24"/>
              </w:rPr>
              <w:t>¿Ejerce Jurisdicción?</w:t>
            </w:r>
            <w:r w:rsidR="005954E6">
              <w:rPr>
                <w:rFonts w:ascii="Times New Roman" w:hAnsi="Times New Roman"/>
                <w:b/>
                <w:bCs/>
                <w:sz w:val="24"/>
                <w:szCs w:val="24"/>
              </w:rPr>
              <w:t xml:space="preserve"> ¿Es un vicio esencial la falta de competencia en el ejercicio de la potestad sancionadora?</w:t>
            </w:r>
          </w:p>
        </w:tc>
      </w:tr>
      <w:tr w:rsidR="00A44288" w:rsidRPr="00A44288" w:rsidTr="005A4BAA">
        <w:trPr>
          <w:trHeight w:val="58"/>
        </w:trPr>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3.</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Materia</w:t>
            </w:r>
          </w:p>
        </w:tc>
        <w:tc>
          <w:tcPr>
            <w:tcW w:w="8454" w:type="dxa"/>
          </w:tcPr>
          <w:p w:rsidR="00A44288" w:rsidRPr="00A44288" w:rsidRDefault="00465B4A" w:rsidP="005A4BAA">
            <w:pPr>
              <w:jc w:val="both"/>
              <w:rPr>
                <w:rFonts w:ascii="Times New Roman" w:hAnsi="Times New Roman"/>
                <w:sz w:val="24"/>
                <w:szCs w:val="24"/>
              </w:rPr>
            </w:pPr>
            <w:r>
              <w:rPr>
                <w:rFonts w:ascii="Times New Roman" w:hAnsi="Times New Roman"/>
                <w:sz w:val="24"/>
                <w:szCs w:val="24"/>
              </w:rPr>
              <w:t>Derecho Administrativo Sancionador.</w:t>
            </w:r>
          </w:p>
        </w:tc>
      </w:tr>
      <w:tr w:rsidR="00A44288" w:rsidRPr="00A44288" w:rsidTr="005A4BAA">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4.</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Rol:</w:t>
            </w:r>
          </w:p>
        </w:tc>
        <w:tc>
          <w:tcPr>
            <w:tcW w:w="8454" w:type="dxa"/>
          </w:tcPr>
          <w:p w:rsidR="00A44288" w:rsidRPr="00A44288" w:rsidRDefault="00465B4A" w:rsidP="005A4BAA">
            <w:pPr>
              <w:jc w:val="both"/>
              <w:rPr>
                <w:rFonts w:ascii="Times New Roman" w:hAnsi="Times New Roman"/>
                <w:sz w:val="24"/>
                <w:szCs w:val="24"/>
              </w:rPr>
            </w:pPr>
            <w:r w:rsidRPr="00465B4A">
              <w:rPr>
                <w:rFonts w:ascii="Times New Roman" w:hAnsi="Times New Roman"/>
                <w:sz w:val="24"/>
                <w:szCs w:val="24"/>
                <w:lang w:val="es-CL"/>
              </w:rPr>
              <w:t>Excma. Corte Suprema</w:t>
            </w:r>
            <w:r>
              <w:rPr>
                <w:rFonts w:ascii="Times New Roman" w:hAnsi="Times New Roman"/>
                <w:sz w:val="24"/>
                <w:szCs w:val="24"/>
                <w:lang w:val="es-CL"/>
              </w:rPr>
              <w:t xml:space="preserve"> </w:t>
            </w:r>
            <w:r w:rsidRPr="00465B4A">
              <w:rPr>
                <w:rFonts w:ascii="Times New Roman" w:hAnsi="Times New Roman"/>
                <w:sz w:val="24"/>
                <w:szCs w:val="24"/>
                <w:lang w:val="es-CL"/>
              </w:rPr>
              <w:t>Rol Nº 6051-2018</w:t>
            </w:r>
            <w:r>
              <w:rPr>
                <w:rFonts w:ascii="Times New Roman" w:hAnsi="Times New Roman"/>
                <w:sz w:val="24"/>
                <w:szCs w:val="24"/>
                <w:lang w:val="es-CL"/>
              </w:rPr>
              <w:t>.</w:t>
            </w:r>
          </w:p>
        </w:tc>
      </w:tr>
      <w:tr w:rsidR="00A44288" w:rsidRPr="00A44288" w:rsidTr="005A4BAA">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5.</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Recurrente:</w:t>
            </w:r>
          </w:p>
        </w:tc>
        <w:tc>
          <w:tcPr>
            <w:tcW w:w="8454" w:type="dxa"/>
          </w:tcPr>
          <w:p w:rsidR="00A44288" w:rsidRPr="00A44288" w:rsidRDefault="00974643" w:rsidP="005A4BAA">
            <w:pPr>
              <w:jc w:val="both"/>
              <w:rPr>
                <w:rFonts w:ascii="Times New Roman" w:hAnsi="Times New Roman"/>
                <w:sz w:val="24"/>
                <w:szCs w:val="24"/>
              </w:rPr>
            </w:pPr>
            <w:r w:rsidRPr="00974643">
              <w:rPr>
                <w:rFonts w:ascii="Times New Roman" w:hAnsi="Times New Roman"/>
                <w:sz w:val="24"/>
                <w:szCs w:val="24"/>
                <w:lang w:val="es-CL"/>
              </w:rPr>
              <w:t>Sociedad Educacional Cardenas Gallardo Ltda</w:t>
            </w:r>
            <w:r>
              <w:rPr>
                <w:rFonts w:ascii="Times New Roman" w:hAnsi="Times New Roman"/>
                <w:sz w:val="24"/>
                <w:szCs w:val="24"/>
                <w:lang w:val="es-CL"/>
              </w:rPr>
              <w:t>. recurrente en el reclamo de ilegalidad y posteriormente apelado.</w:t>
            </w:r>
          </w:p>
        </w:tc>
      </w:tr>
      <w:tr w:rsidR="00A44288" w:rsidRPr="00A44288" w:rsidTr="005A4BAA">
        <w:tc>
          <w:tcPr>
            <w:tcW w:w="516"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6.</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Recurrido:</w:t>
            </w:r>
          </w:p>
        </w:tc>
        <w:tc>
          <w:tcPr>
            <w:tcW w:w="8454" w:type="dxa"/>
          </w:tcPr>
          <w:p w:rsidR="00A44288" w:rsidRPr="00A44288" w:rsidRDefault="00465B4A" w:rsidP="005A4BAA">
            <w:pPr>
              <w:jc w:val="both"/>
              <w:rPr>
                <w:rFonts w:ascii="Times New Roman" w:hAnsi="Times New Roman"/>
                <w:sz w:val="24"/>
                <w:szCs w:val="24"/>
              </w:rPr>
            </w:pPr>
            <w:r w:rsidRPr="00465B4A">
              <w:rPr>
                <w:rFonts w:ascii="Times New Roman" w:hAnsi="Times New Roman"/>
                <w:sz w:val="24"/>
                <w:szCs w:val="24"/>
                <w:lang w:val="es-CL"/>
              </w:rPr>
              <w:t>Superintendencia de Educación</w:t>
            </w:r>
            <w:r w:rsidR="00974643">
              <w:rPr>
                <w:rFonts w:ascii="Times New Roman" w:hAnsi="Times New Roman"/>
                <w:sz w:val="24"/>
                <w:szCs w:val="24"/>
                <w:lang w:val="es-CL"/>
              </w:rPr>
              <w:t>, recurrida en el reclamo de ilegalidad y posteriormente apelante.</w:t>
            </w:r>
          </w:p>
        </w:tc>
      </w:tr>
      <w:tr w:rsidR="00A44288" w:rsidRPr="00A44288" w:rsidTr="005A4BAA">
        <w:trPr>
          <w:trHeight w:val="400"/>
        </w:trPr>
        <w:tc>
          <w:tcPr>
            <w:tcW w:w="516" w:type="dxa"/>
          </w:tcPr>
          <w:p w:rsidR="00A44288" w:rsidRPr="00A44288" w:rsidRDefault="00A44288" w:rsidP="005A4BAA">
            <w:pPr>
              <w:jc w:val="both"/>
              <w:rPr>
                <w:rFonts w:ascii="Times New Roman" w:hAnsi="Times New Roman"/>
                <w:b/>
                <w:sz w:val="24"/>
                <w:szCs w:val="24"/>
              </w:rPr>
            </w:pPr>
            <w:r>
              <w:rPr>
                <w:rFonts w:ascii="Times New Roman" w:hAnsi="Times New Roman"/>
                <w:b/>
                <w:sz w:val="24"/>
                <w:szCs w:val="24"/>
              </w:rPr>
              <w:t>7</w:t>
            </w:r>
            <w:r w:rsidRPr="00A44288">
              <w:rPr>
                <w:rFonts w:ascii="Times New Roman" w:hAnsi="Times New Roman"/>
                <w:b/>
                <w:sz w:val="24"/>
                <w:szCs w:val="24"/>
              </w:rPr>
              <w:t>.</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Integración:</w:t>
            </w:r>
          </w:p>
        </w:tc>
        <w:tc>
          <w:tcPr>
            <w:tcW w:w="8454" w:type="dxa"/>
          </w:tcPr>
          <w:p w:rsidR="00A44288" w:rsidRPr="00A44288" w:rsidRDefault="00465B4A" w:rsidP="005A4BAA">
            <w:pPr>
              <w:jc w:val="both"/>
              <w:rPr>
                <w:rFonts w:ascii="Times New Roman" w:hAnsi="Times New Roman"/>
                <w:sz w:val="24"/>
                <w:szCs w:val="24"/>
              </w:rPr>
            </w:pPr>
            <w:r>
              <w:rPr>
                <w:rFonts w:ascii="Times New Roman" w:hAnsi="Times New Roman"/>
                <w:sz w:val="24"/>
                <w:szCs w:val="24"/>
              </w:rPr>
              <w:t>I</w:t>
            </w:r>
            <w:r w:rsidRPr="00465B4A">
              <w:rPr>
                <w:rFonts w:ascii="Times New Roman" w:hAnsi="Times New Roman"/>
                <w:sz w:val="24"/>
                <w:szCs w:val="24"/>
              </w:rPr>
              <w:t>ntegrada por los Ministros Sr. Sergio Muñoz G., Sra. María</w:t>
            </w:r>
            <w:r>
              <w:rPr>
                <w:rFonts w:ascii="Times New Roman" w:hAnsi="Times New Roman"/>
                <w:sz w:val="24"/>
                <w:szCs w:val="24"/>
              </w:rPr>
              <w:t xml:space="preserve"> </w:t>
            </w:r>
            <w:r w:rsidRPr="00465B4A">
              <w:rPr>
                <w:rFonts w:ascii="Times New Roman" w:hAnsi="Times New Roman"/>
                <w:sz w:val="24"/>
                <w:szCs w:val="24"/>
              </w:rPr>
              <w:t>Eugenia Sandoval G. y Sr.  Juan Eduardo Fuentes B.  y los</w:t>
            </w:r>
            <w:r>
              <w:rPr>
                <w:rFonts w:ascii="Times New Roman" w:hAnsi="Times New Roman"/>
                <w:sz w:val="24"/>
                <w:szCs w:val="24"/>
              </w:rPr>
              <w:t xml:space="preserve"> </w:t>
            </w:r>
            <w:r w:rsidRPr="00465B4A">
              <w:rPr>
                <w:rFonts w:ascii="Times New Roman" w:hAnsi="Times New Roman"/>
                <w:sz w:val="24"/>
                <w:szCs w:val="24"/>
              </w:rPr>
              <w:t>Abogados Integrantes Sr. Rafael Gómez B. y Sr. Ricardo</w:t>
            </w:r>
            <w:r>
              <w:rPr>
                <w:rFonts w:ascii="Times New Roman" w:hAnsi="Times New Roman"/>
                <w:sz w:val="24"/>
                <w:szCs w:val="24"/>
              </w:rPr>
              <w:t xml:space="preserve"> </w:t>
            </w:r>
            <w:proofErr w:type="spellStart"/>
            <w:r w:rsidRPr="00465B4A">
              <w:rPr>
                <w:rFonts w:ascii="Times New Roman" w:hAnsi="Times New Roman"/>
                <w:sz w:val="24"/>
                <w:szCs w:val="24"/>
              </w:rPr>
              <w:t>Abuauad</w:t>
            </w:r>
            <w:proofErr w:type="spellEnd"/>
            <w:r w:rsidRPr="00465B4A">
              <w:rPr>
                <w:rFonts w:ascii="Times New Roman" w:hAnsi="Times New Roman"/>
                <w:sz w:val="24"/>
                <w:szCs w:val="24"/>
              </w:rPr>
              <w:t xml:space="preserve"> D.</w:t>
            </w:r>
          </w:p>
        </w:tc>
      </w:tr>
      <w:tr w:rsidR="00A44288" w:rsidRPr="00A44288" w:rsidTr="005A4BAA">
        <w:trPr>
          <w:trHeight w:val="356"/>
        </w:trPr>
        <w:tc>
          <w:tcPr>
            <w:tcW w:w="516" w:type="dxa"/>
          </w:tcPr>
          <w:p w:rsidR="00A44288" w:rsidRPr="00A44288" w:rsidRDefault="00A44288" w:rsidP="005A4BAA">
            <w:pPr>
              <w:jc w:val="both"/>
              <w:rPr>
                <w:rFonts w:ascii="Times New Roman" w:hAnsi="Times New Roman"/>
                <w:b/>
                <w:sz w:val="24"/>
                <w:szCs w:val="24"/>
              </w:rPr>
            </w:pPr>
            <w:r>
              <w:rPr>
                <w:rFonts w:ascii="Times New Roman" w:hAnsi="Times New Roman"/>
                <w:b/>
                <w:sz w:val="24"/>
                <w:szCs w:val="24"/>
              </w:rPr>
              <w:t>8</w:t>
            </w:r>
            <w:r w:rsidRPr="00A44288">
              <w:rPr>
                <w:rFonts w:ascii="Times New Roman" w:hAnsi="Times New Roman"/>
                <w:b/>
                <w:sz w:val="24"/>
                <w:szCs w:val="24"/>
              </w:rPr>
              <w:t>.</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Redacción:</w:t>
            </w:r>
          </w:p>
        </w:tc>
        <w:tc>
          <w:tcPr>
            <w:tcW w:w="8454" w:type="dxa"/>
          </w:tcPr>
          <w:p w:rsidR="00A44288" w:rsidRPr="00A44288" w:rsidRDefault="00465B4A" w:rsidP="005A4BAA">
            <w:pPr>
              <w:jc w:val="both"/>
              <w:rPr>
                <w:rFonts w:ascii="Times New Roman" w:hAnsi="Times New Roman"/>
                <w:sz w:val="24"/>
                <w:szCs w:val="24"/>
              </w:rPr>
            </w:pPr>
            <w:r w:rsidRPr="00465B4A">
              <w:rPr>
                <w:rFonts w:ascii="Times New Roman" w:hAnsi="Times New Roman"/>
                <w:sz w:val="24"/>
                <w:szCs w:val="24"/>
                <w:lang w:val="es-CL"/>
              </w:rPr>
              <w:t xml:space="preserve">Abogado Integrante señor Ricardo </w:t>
            </w:r>
            <w:proofErr w:type="spellStart"/>
            <w:r w:rsidRPr="00465B4A">
              <w:rPr>
                <w:rFonts w:ascii="Times New Roman" w:hAnsi="Times New Roman"/>
                <w:sz w:val="24"/>
                <w:szCs w:val="24"/>
                <w:lang w:val="es-CL"/>
              </w:rPr>
              <w:t>Abuauad</w:t>
            </w:r>
            <w:proofErr w:type="spellEnd"/>
            <w:r w:rsidRPr="00465B4A">
              <w:rPr>
                <w:rFonts w:ascii="Times New Roman" w:hAnsi="Times New Roman"/>
                <w:sz w:val="24"/>
                <w:szCs w:val="24"/>
                <w:lang w:val="es-CL"/>
              </w:rPr>
              <w:t xml:space="preserve"> </w:t>
            </w:r>
            <w:proofErr w:type="spellStart"/>
            <w:r w:rsidRPr="00465B4A">
              <w:rPr>
                <w:rFonts w:ascii="Times New Roman" w:hAnsi="Times New Roman"/>
                <w:sz w:val="24"/>
                <w:szCs w:val="24"/>
                <w:lang w:val="es-CL"/>
              </w:rPr>
              <w:t>Dagach</w:t>
            </w:r>
            <w:proofErr w:type="spellEnd"/>
            <w:r w:rsidRPr="00465B4A">
              <w:rPr>
                <w:rFonts w:ascii="Times New Roman" w:hAnsi="Times New Roman"/>
                <w:sz w:val="24"/>
                <w:szCs w:val="24"/>
                <w:lang w:val="es-CL"/>
              </w:rPr>
              <w:t>.</w:t>
            </w:r>
          </w:p>
        </w:tc>
      </w:tr>
      <w:tr w:rsidR="00A44288" w:rsidRPr="00A44288" w:rsidTr="005A4BAA">
        <w:trPr>
          <w:trHeight w:val="356"/>
        </w:trPr>
        <w:tc>
          <w:tcPr>
            <w:tcW w:w="516" w:type="dxa"/>
          </w:tcPr>
          <w:p w:rsidR="00A44288" w:rsidRPr="00A44288" w:rsidRDefault="00A44288" w:rsidP="005A4BAA">
            <w:pPr>
              <w:jc w:val="both"/>
              <w:rPr>
                <w:rFonts w:ascii="Times New Roman" w:hAnsi="Times New Roman"/>
                <w:b/>
                <w:sz w:val="24"/>
                <w:szCs w:val="24"/>
              </w:rPr>
            </w:pPr>
            <w:r>
              <w:rPr>
                <w:rFonts w:ascii="Times New Roman" w:hAnsi="Times New Roman"/>
                <w:b/>
                <w:sz w:val="24"/>
                <w:szCs w:val="24"/>
              </w:rPr>
              <w:t>9</w:t>
            </w:r>
            <w:r w:rsidRPr="00A44288">
              <w:rPr>
                <w:rFonts w:ascii="Times New Roman" w:hAnsi="Times New Roman"/>
                <w:b/>
                <w:sz w:val="24"/>
                <w:szCs w:val="24"/>
              </w:rPr>
              <w:t>.</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Votación:</w:t>
            </w:r>
          </w:p>
        </w:tc>
        <w:tc>
          <w:tcPr>
            <w:tcW w:w="8454" w:type="dxa"/>
          </w:tcPr>
          <w:p w:rsidR="00A44288" w:rsidRPr="00A44288" w:rsidRDefault="00986475" w:rsidP="005A4BAA">
            <w:pPr>
              <w:jc w:val="both"/>
              <w:rPr>
                <w:rFonts w:ascii="Times New Roman" w:hAnsi="Times New Roman"/>
                <w:sz w:val="24"/>
                <w:szCs w:val="24"/>
              </w:rPr>
            </w:pPr>
            <w:r>
              <w:rPr>
                <w:rFonts w:ascii="Times New Roman" w:hAnsi="Times New Roman"/>
                <w:sz w:val="24"/>
                <w:szCs w:val="24"/>
              </w:rPr>
              <w:t>Unánime</w:t>
            </w:r>
            <w:r w:rsidR="00465B4A">
              <w:rPr>
                <w:rFonts w:ascii="Times New Roman" w:hAnsi="Times New Roman"/>
                <w:sz w:val="24"/>
                <w:szCs w:val="24"/>
              </w:rPr>
              <w:t>.</w:t>
            </w:r>
          </w:p>
        </w:tc>
      </w:tr>
      <w:tr w:rsidR="00A44288" w:rsidRPr="00A44288" w:rsidTr="005A4BAA">
        <w:trPr>
          <w:trHeight w:val="70"/>
        </w:trPr>
        <w:tc>
          <w:tcPr>
            <w:tcW w:w="516" w:type="dxa"/>
          </w:tcPr>
          <w:p w:rsidR="00A44288" w:rsidRPr="00A44288" w:rsidRDefault="00A44288" w:rsidP="005A4BAA">
            <w:pPr>
              <w:jc w:val="both"/>
              <w:rPr>
                <w:rFonts w:ascii="Times New Roman" w:hAnsi="Times New Roman"/>
                <w:b/>
                <w:sz w:val="24"/>
                <w:szCs w:val="24"/>
              </w:rPr>
            </w:pPr>
            <w:r>
              <w:rPr>
                <w:rFonts w:ascii="Times New Roman" w:hAnsi="Times New Roman"/>
                <w:b/>
                <w:sz w:val="24"/>
                <w:szCs w:val="24"/>
              </w:rPr>
              <w:t>10</w:t>
            </w:r>
            <w:r w:rsidRPr="00A44288">
              <w:rPr>
                <w:rFonts w:ascii="Times New Roman" w:hAnsi="Times New Roman"/>
                <w:b/>
                <w:sz w:val="24"/>
                <w:szCs w:val="24"/>
              </w:rPr>
              <w:t xml:space="preserve">. </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Considerandos relevantes:</w:t>
            </w:r>
          </w:p>
        </w:tc>
        <w:tc>
          <w:tcPr>
            <w:tcW w:w="8454" w:type="dxa"/>
          </w:tcPr>
          <w:p w:rsidR="00986475" w:rsidRPr="00986475" w:rsidRDefault="00986475" w:rsidP="005A4BAA">
            <w:pPr>
              <w:jc w:val="both"/>
              <w:rPr>
                <w:rFonts w:ascii="Times New Roman" w:hAnsi="Times New Roman"/>
                <w:sz w:val="24"/>
                <w:szCs w:val="24"/>
                <w:lang w:val="es-CL"/>
              </w:rPr>
            </w:pPr>
            <w:r w:rsidRPr="00986475">
              <w:rPr>
                <w:rFonts w:ascii="Times New Roman" w:hAnsi="Times New Roman"/>
                <w:sz w:val="24"/>
                <w:szCs w:val="24"/>
                <w:lang w:val="es-CL"/>
              </w:rPr>
              <w:t>“</w:t>
            </w:r>
            <w:r w:rsidRPr="005954E6">
              <w:rPr>
                <w:rFonts w:ascii="Times New Roman" w:hAnsi="Times New Roman"/>
                <w:b/>
                <w:i/>
                <w:iCs/>
                <w:sz w:val="24"/>
                <w:szCs w:val="24"/>
                <w:lang w:val="es-CL"/>
              </w:rPr>
              <w:t>Quinto</w:t>
            </w:r>
            <w:r w:rsidRPr="00986475">
              <w:rPr>
                <w:rFonts w:ascii="Times New Roman" w:hAnsi="Times New Roman"/>
                <w:i/>
                <w:iCs/>
                <w:sz w:val="24"/>
                <w:szCs w:val="24"/>
                <w:lang w:val="es-CL"/>
              </w:rPr>
              <w:t>: Al respecto, es importante señalar que la potestad sancionadora de un ente de la Administración no es jurisdicción, se trata de un acto administrativo terminal, que es la concreción de las facultades punitivas legalmente reconocidas, pues las facultades jurisdiccionales están exclusivamente reservadas a los Tribunales de Justicia</w:t>
            </w:r>
            <w:r w:rsidRPr="00986475">
              <w:rPr>
                <w:rFonts w:ascii="Times New Roman" w:hAnsi="Times New Roman"/>
                <w:sz w:val="24"/>
                <w:szCs w:val="24"/>
                <w:lang w:val="es-CL"/>
              </w:rPr>
              <w:t xml:space="preserve"> (…) </w:t>
            </w:r>
          </w:p>
          <w:p w:rsidR="00986475" w:rsidRPr="00986475" w:rsidRDefault="00986475" w:rsidP="005A4BAA">
            <w:pPr>
              <w:jc w:val="both"/>
              <w:rPr>
                <w:rFonts w:ascii="Times New Roman" w:hAnsi="Times New Roman"/>
                <w:i/>
                <w:iCs/>
                <w:sz w:val="24"/>
                <w:szCs w:val="24"/>
                <w:lang w:val="es-CL"/>
              </w:rPr>
            </w:pPr>
            <w:r w:rsidRPr="00986475">
              <w:rPr>
                <w:rFonts w:ascii="Times New Roman" w:hAnsi="Times New Roman"/>
                <w:sz w:val="24"/>
                <w:szCs w:val="24"/>
                <w:lang w:val="es-CL"/>
              </w:rPr>
              <w:t xml:space="preserve">(…) </w:t>
            </w:r>
            <w:r w:rsidRPr="00986475">
              <w:rPr>
                <w:rFonts w:ascii="Times New Roman" w:hAnsi="Times New Roman"/>
                <w:i/>
                <w:iCs/>
                <w:sz w:val="24"/>
                <w:szCs w:val="24"/>
                <w:lang w:val="es-CL"/>
              </w:rPr>
              <w:t>De esta forma, aquello que caracteriza y es la razón de ser de la jurisdicción es, precisamente, la intervención de un tercero que impone frente a las partes una solución al conflicto planteado y dada su condición de imparcial, debe ser ajeno al litigio.</w:t>
            </w:r>
          </w:p>
          <w:p w:rsidR="00A44288" w:rsidRDefault="00986475" w:rsidP="005A4BAA">
            <w:pPr>
              <w:jc w:val="both"/>
              <w:rPr>
                <w:rFonts w:ascii="Times New Roman" w:hAnsi="Times New Roman"/>
                <w:sz w:val="24"/>
                <w:szCs w:val="24"/>
                <w:lang w:val="es-CL"/>
              </w:rPr>
            </w:pPr>
            <w:r w:rsidRPr="00986475">
              <w:rPr>
                <w:rFonts w:ascii="Times New Roman" w:hAnsi="Times New Roman"/>
                <w:i/>
                <w:iCs/>
                <w:sz w:val="24"/>
                <w:szCs w:val="24"/>
                <w:lang w:val="es-CL"/>
              </w:rPr>
              <w:t>En este orden de ideas, un funcionario que ejecuta parte de la potestad administrativa sin estar sujeto a los principios de imparcialidad e independencia, carece de las cualidades esenciales de un tribunal, puesto que desconoce la necesaria observancia de elementos fundamentales que configuran la actividad jurisdiccional</w:t>
            </w:r>
            <w:r w:rsidRPr="00986475">
              <w:rPr>
                <w:rFonts w:ascii="Times New Roman" w:hAnsi="Times New Roman"/>
                <w:sz w:val="24"/>
                <w:szCs w:val="24"/>
                <w:lang w:val="es-CL"/>
              </w:rPr>
              <w:t>”.</w:t>
            </w:r>
          </w:p>
          <w:p w:rsidR="005954E6" w:rsidRDefault="005954E6" w:rsidP="005A4BAA">
            <w:pPr>
              <w:jc w:val="both"/>
              <w:rPr>
                <w:rFonts w:ascii="Times New Roman" w:hAnsi="Times New Roman"/>
                <w:sz w:val="24"/>
                <w:szCs w:val="24"/>
                <w:lang w:val="es-CL"/>
              </w:rPr>
            </w:pPr>
          </w:p>
          <w:p w:rsidR="005954E6" w:rsidRPr="00A44288" w:rsidRDefault="005954E6" w:rsidP="005A4BAA">
            <w:pPr>
              <w:jc w:val="both"/>
              <w:rPr>
                <w:rFonts w:ascii="Times New Roman" w:hAnsi="Times New Roman"/>
                <w:sz w:val="24"/>
                <w:szCs w:val="24"/>
                <w:lang w:val="es-CL"/>
              </w:rPr>
            </w:pPr>
            <w:r>
              <w:rPr>
                <w:rFonts w:ascii="Times New Roman" w:hAnsi="Times New Roman"/>
                <w:sz w:val="24"/>
                <w:szCs w:val="24"/>
                <w:lang w:val="es-CL"/>
              </w:rPr>
              <w:t>“</w:t>
            </w:r>
            <w:r w:rsidRPr="005954E6">
              <w:rPr>
                <w:rFonts w:ascii="Times New Roman" w:hAnsi="Times New Roman"/>
                <w:b/>
                <w:i/>
                <w:sz w:val="24"/>
                <w:szCs w:val="24"/>
                <w:lang w:val="es-CL"/>
              </w:rPr>
              <w:t>Duodécimo</w:t>
            </w:r>
            <w:r w:rsidRPr="005954E6">
              <w:rPr>
                <w:rFonts w:ascii="Times New Roman" w:hAnsi="Times New Roman"/>
                <w:i/>
                <w:sz w:val="24"/>
                <w:szCs w:val="24"/>
                <w:lang w:val="es-CL"/>
              </w:rPr>
              <w:t>: Que lo recién expuesto no se contrapone al principio de no formalización que rige los procedimientos administrativos y que está consagrado en el artículo 13 de la Ley 19.880, sino que, por el contrario, guarda concordancia con o prescrito en esa norma. En efecto, el inciso segundo de este último precepto establece que los vicios de procedimiento excepcionalmente afectarán la validez del acto administrativo cuando recaigan en algún requisito esencial del mismo, sea por su naturaleza o por mandato del ordenamiento jurídico y generen perjuicio al interesado (…)”</w:t>
            </w:r>
            <w:r>
              <w:rPr>
                <w:rFonts w:ascii="Times New Roman" w:hAnsi="Times New Roman"/>
                <w:sz w:val="24"/>
                <w:szCs w:val="24"/>
                <w:lang w:val="es-CL"/>
              </w:rPr>
              <w:t xml:space="preserve"> </w:t>
            </w:r>
          </w:p>
        </w:tc>
      </w:tr>
      <w:tr w:rsidR="00A44288" w:rsidRPr="00A44288" w:rsidTr="005A4BAA">
        <w:trPr>
          <w:trHeight w:val="70"/>
        </w:trPr>
        <w:tc>
          <w:tcPr>
            <w:tcW w:w="516" w:type="dxa"/>
          </w:tcPr>
          <w:p w:rsidR="00A44288" w:rsidRPr="00A44288" w:rsidRDefault="00A44288" w:rsidP="005A4BAA">
            <w:pPr>
              <w:jc w:val="both"/>
              <w:rPr>
                <w:rFonts w:ascii="Times New Roman" w:hAnsi="Times New Roman"/>
                <w:b/>
                <w:sz w:val="24"/>
                <w:szCs w:val="24"/>
              </w:rPr>
            </w:pPr>
            <w:r>
              <w:rPr>
                <w:rFonts w:ascii="Times New Roman" w:hAnsi="Times New Roman"/>
                <w:b/>
                <w:sz w:val="24"/>
                <w:szCs w:val="24"/>
              </w:rPr>
              <w:t>11</w:t>
            </w:r>
            <w:r w:rsidRPr="00A44288">
              <w:rPr>
                <w:rFonts w:ascii="Times New Roman" w:hAnsi="Times New Roman"/>
                <w:b/>
                <w:sz w:val="24"/>
                <w:szCs w:val="24"/>
              </w:rPr>
              <w:t xml:space="preserve">. </w:t>
            </w:r>
          </w:p>
        </w:tc>
        <w:tc>
          <w:tcPr>
            <w:tcW w:w="1753" w:type="dxa"/>
          </w:tcPr>
          <w:p w:rsidR="00A44288" w:rsidRPr="00A44288" w:rsidRDefault="00A44288" w:rsidP="005A4BAA">
            <w:pPr>
              <w:jc w:val="both"/>
              <w:rPr>
                <w:rFonts w:ascii="Times New Roman" w:hAnsi="Times New Roman"/>
                <w:b/>
                <w:sz w:val="24"/>
                <w:szCs w:val="24"/>
              </w:rPr>
            </w:pPr>
            <w:r w:rsidRPr="00A44288">
              <w:rPr>
                <w:rFonts w:ascii="Times New Roman" w:hAnsi="Times New Roman"/>
                <w:b/>
                <w:sz w:val="24"/>
                <w:szCs w:val="24"/>
              </w:rPr>
              <w:t xml:space="preserve">Comentario </w:t>
            </w:r>
          </w:p>
        </w:tc>
        <w:tc>
          <w:tcPr>
            <w:tcW w:w="8454" w:type="dxa"/>
          </w:tcPr>
          <w:p w:rsidR="005954E6" w:rsidRDefault="00C35E7A" w:rsidP="00E01145">
            <w:pPr>
              <w:jc w:val="both"/>
              <w:rPr>
                <w:rFonts w:ascii="Times New Roman" w:hAnsi="Times New Roman"/>
                <w:sz w:val="24"/>
                <w:szCs w:val="24"/>
              </w:rPr>
            </w:pPr>
            <w:r>
              <w:rPr>
                <w:rFonts w:ascii="Times New Roman" w:hAnsi="Times New Roman"/>
                <w:sz w:val="24"/>
                <w:szCs w:val="24"/>
              </w:rPr>
              <w:t>La Corte Suprema reconoce el Derecho Administrativo Sancionador como una rama autónoma del derecho, la cual difiere esencialmente del Derecho Penal en cuanto a la naturaleza y a los fines perseguidos, de dicho reconocimiento es que aplica el Principio de Legalidad en forma atenuada, esto es, como un principio del derecho administrativo sancionador cuya aplicación es restringida a la competencia de la autoridad que dicta el acto administrativo de término (sanción), de forma fundada y razonada, con el fin de avalar la interdicción de la arbitrariedad.</w:t>
            </w:r>
          </w:p>
          <w:p w:rsidR="00070123" w:rsidRDefault="00070123" w:rsidP="00E01145">
            <w:pPr>
              <w:jc w:val="both"/>
              <w:rPr>
                <w:rFonts w:ascii="Times New Roman" w:hAnsi="Times New Roman"/>
                <w:sz w:val="24"/>
                <w:szCs w:val="24"/>
              </w:rPr>
            </w:pPr>
          </w:p>
          <w:p w:rsidR="00C35E7A" w:rsidRPr="00E01145" w:rsidRDefault="00070123" w:rsidP="00E01145">
            <w:pPr>
              <w:jc w:val="both"/>
              <w:rPr>
                <w:rFonts w:ascii="Times New Roman" w:hAnsi="Times New Roman"/>
                <w:sz w:val="24"/>
                <w:szCs w:val="24"/>
              </w:rPr>
            </w:pPr>
            <w:r>
              <w:rPr>
                <w:rFonts w:ascii="Times New Roman" w:hAnsi="Times New Roman"/>
                <w:sz w:val="24"/>
                <w:szCs w:val="24"/>
              </w:rPr>
              <w:t>En este orden de ideas, la Corte Suprema comparte las alegaciones del apelante, sin embargo, confirma la sentencia de la Corte de Apelación fundada en hechos distintos a los que la conforman, sean estos, la falta de competencia del Director Regional de formular los cargos en un proceso administrativo sancionador, vulnerando así el principio de legalidad.</w:t>
            </w:r>
          </w:p>
        </w:tc>
      </w:tr>
    </w:tbl>
    <w:p w:rsidR="00A44288" w:rsidRDefault="00A44288"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5954E6" w:rsidRDefault="005954E6" w:rsidP="005A4BAA">
      <w:pPr>
        <w:jc w:val="both"/>
        <w:rPr>
          <w:rFonts w:ascii="Times New Roman" w:hAnsi="Times New Roman" w:cs="Times New Roman"/>
          <w:b/>
          <w:bCs/>
        </w:rPr>
      </w:pPr>
    </w:p>
    <w:p w:rsidR="006E5540" w:rsidRDefault="006E5540" w:rsidP="005A4BAA">
      <w:pPr>
        <w:ind w:left="-851" w:right="142"/>
        <w:jc w:val="both"/>
        <w:rPr>
          <w:rFonts w:ascii="Times New Roman" w:hAnsi="Times New Roman" w:cs="Times New Roman"/>
          <w:b/>
          <w:bCs/>
        </w:rPr>
      </w:pPr>
      <w:r>
        <w:rPr>
          <w:rFonts w:ascii="Times New Roman" w:hAnsi="Times New Roman" w:cs="Times New Roman"/>
          <w:b/>
          <w:bCs/>
        </w:rPr>
        <w:t xml:space="preserve">Hechos: </w:t>
      </w:r>
    </w:p>
    <w:p w:rsidR="006D5C50" w:rsidRDefault="006D5C50" w:rsidP="005A4BAA">
      <w:pPr>
        <w:ind w:left="-851" w:right="142"/>
        <w:jc w:val="both"/>
        <w:rPr>
          <w:rFonts w:ascii="Times New Roman" w:hAnsi="Times New Roman" w:cs="Times New Roman"/>
        </w:rPr>
      </w:pPr>
      <w:r w:rsidRPr="006D5C50">
        <w:rPr>
          <w:rFonts w:ascii="Times New Roman" w:hAnsi="Times New Roman" w:cs="Times New Roman"/>
        </w:rPr>
        <w:t>1.- Que, de acuerdo a Acta de fiscalización N° 151305178, de fecha 26 de octubre</w:t>
      </w:r>
      <w:r>
        <w:rPr>
          <w:rFonts w:ascii="Times New Roman" w:hAnsi="Times New Roman" w:cs="Times New Roman"/>
        </w:rPr>
        <w:t xml:space="preserve"> </w:t>
      </w:r>
      <w:r w:rsidRPr="006D5C50">
        <w:rPr>
          <w:rFonts w:ascii="Times New Roman" w:hAnsi="Times New Roman" w:cs="Times New Roman"/>
        </w:rPr>
        <w:t>de 2015, mediante la RESOLUCIÓN EXENTA N° 2015/PAD/13/03387 de fecha 26 de</w:t>
      </w:r>
      <w:r>
        <w:rPr>
          <w:rFonts w:ascii="Times New Roman" w:hAnsi="Times New Roman" w:cs="Times New Roman"/>
        </w:rPr>
        <w:t xml:space="preserve"> </w:t>
      </w:r>
      <w:r w:rsidRPr="006D5C50">
        <w:rPr>
          <w:rFonts w:ascii="Times New Roman" w:hAnsi="Times New Roman" w:cs="Times New Roman"/>
        </w:rPr>
        <w:t>noviembre de 2015 se ordenó instruir proceso administrativo, al Establecimiento</w:t>
      </w:r>
      <w:r>
        <w:rPr>
          <w:rFonts w:ascii="Times New Roman" w:hAnsi="Times New Roman" w:cs="Times New Roman"/>
        </w:rPr>
        <w:t xml:space="preserve"> </w:t>
      </w:r>
      <w:r w:rsidRPr="006D5C50">
        <w:rPr>
          <w:rFonts w:ascii="Times New Roman" w:hAnsi="Times New Roman" w:cs="Times New Roman"/>
        </w:rPr>
        <w:t>Educacional ESCUELA GENOVEVA MOLL BRIONES, R.B.D. 10488-4, de la comuna de</w:t>
      </w:r>
      <w:r>
        <w:rPr>
          <w:rFonts w:ascii="Times New Roman" w:hAnsi="Times New Roman" w:cs="Times New Roman"/>
        </w:rPr>
        <w:t xml:space="preserve"> </w:t>
      </w:r>
      <w:r w:rsidRPr="006D5C50">
        <w:rPr>
          <w:rFonts w:ascii="Times New Roman" w:hAnsi="Times New Roman" w:cs="Times New Roman"/>
        </w:rPr>
        <w:t>Puente Alto, cuya entidad sostenedora es la Sociedad Centro Educacional CARDENAS</w:t>
      </w:r>
      <w:r>
        <w:rPr>
          <w:rFonts w:ascii="Times New Roman" w:hAnsi="Times New Roman" w:cs="Times New Roman"/>
        </w:rPr>
        <w:t xml:space="preserve"> </w:t>
      </w:r>
      <w:r w:rsidRPr="006D5C50">
        <w:rPr>
          <w:rFonts w:ascii="Times New Roman" w:hAnsi="Times New Roman" w:cs="Times New Roman"/>
        </w:rPr>
        <w:t>GALLARDO Ltda., de la soy representante legal.</w:t>
      </w:r>
    </w:p>
    <w:p w:rsidR="006D5C50" w:rsidRDefault="006D5C50" w:rsidP="005A4BAA">
      <w:pPr>
        <w:ind w:left="-851" w:right="142"/>
        <w:jc w:val="both"/>
        <w:rPr>
          <w:rFonts w:ascii="Times New Roman" w:hAnsi="Times New Roman" w:cs="Times New Roman"/>
        </w:rPr>
      </w:pPr>
      <w:r w:rsidRPr="006D5C50">
        <w:rPr>
          <w:rFonts w:ascii="Times New Roman" w:hAnsi="Times New Roman" w:cs="Times New Roman"/>
        </w:rPr>
        <w:t>2.- Que, la Fiscal Instructora formuló Cargo e hizo presente plazo para</w:t>
      </w:r>
      <w:r>
        <w:rPr>
          <w:rFonts w:ascii="Times New Roman" w:hAnsi="Times New Roman" w:cs="Times New Roman"/>
        </w:rPr>
        <w:t xml:space="preserve"> </w:t>
      </w:r>
      <w:r w:rsidRPr="006D5C50">
        <w:rPr>
          <w:rFonts w:ascii="Times New Roman" w:hAnsi="Times New Roman" w:cs="Times New Roman"/>
        </w:rPr>
        <w:t>presentar descargos y medios de prueba, siendo formulado los siguientes cargo</w:t>
      </w:r>
      <w:r>
        <w:rPr>
          <w:rFonts w:ascii="Times New Roman" w:hAnsi="Times New Roman" w:cs="Times New Roman"/>
        </w:rPr>
        <w:t>s</w:t>
      </w:r>
      <w:r w:rsidRPr="006D5C50">
        <w:rPr>
          <w:rFonts w:ascii="Times New Roman" w:hAnsi="Times New Roman" w:cs="Times New Roman"/>
        </w:rPr>
        <w:t>:</w:t>
      </w:r>
    </w:p>
    <w:p w:rsidR="006D5C50" w:rsidRPr="006D5C50" w:rsidRDefault="006D5C50" w:rsidP="005A4BAA">
      <w:pPr>
        <w:ind w:left="-851" w:right="142"/>
        <w:jc w:val="both"/>
        <w:rPr>
          <w:rFonts w:ascii="Times New Roman" w:hAnsi="Times New Roman" w:cs="Times New Roman"/>
          <w:i/>
          <w:iCs/>
        </w:rPr>
      </w:pPr>
      <w:r w:rsidRPr="006D5C50">
        <w:rPr>
          <w:rFonts w:ascii="Times New Roman" w:hAnsi="Times New Roman" w:cs="Times New Roman"/>
        </w:rPr>
        <w:t>“</w:t>
      </w:r>
      <w:r w:rsidRPr="006D5C50">
        <w:rPr>
          <w:rFonts w:ascii="Times New Roman" w:hAnsi="Times New Roman" w:cs="Times New Roman"/>
          <w:i/>
          <w:iCs/>
        </w:rPr>
        <w:t>CARGO N° 1: HALLAZGO (39) ESTABLECIMIENTO NO PRESENTA</w:t>
      </w:r>
      <w:r>
        <w:rPr>
          <w:rFonts w:ascii="Times New Roman" w:hAnsi="Times New Roman" w:cs="Times New Roman"/>
          <w:i/>
          <w:iCs/>
        </w:rPr>
        <w:t xml:space="preserve"> </w:t>
      </w:r>
      <w:r w:rsidRPr="006D5C50">
        <w:rPr>
          <w:rFonts w:ascii="Times New Roman" w:hAnsi="Times New Roman" w:cs="Times New Roman"/>
          <w:i/>
          <w:iCs/>
        </w:rPr>
        <w:t>RENDICIONES DE CUENTAS.</w:t>
      </w:r>
    </w:p>
    <w:p w:rsidR="006D5C50" w:rsidRPr="006D5C50" w:rsidRDefault="006D5C50" w:rsidP="005A4BAA">
      <w:pPr>
        <w:ind w:left="-851" w:right="142"/>
        <w:jc w:val="both"/>
        <w:rPr>
          <w:rFonts w:ascii="Times New Roman" w:hAnsi="Times New Roman" w:cs="Times New Roman"/>
        </w:rPr>
      </w:pPr>
      <w:r w:rsidRPr="006D5C50">
        <w:rPr>
          <w:rFonts w:ascii="Times New Roman" w:hAnsi="Times New Roman" w:cs="Times New Roman"/>
          <w:i/>
          <w:iCs/>
        </w:rPr>
        <w:t>Sustento: ESTABLECIMIENTO NO PRESENTA RENDICIONES DE CUENTAS.</w:t>
      </w:r>
      <w:r>
        <w:rPr>
          <w:rFonts w:ascii="Times New Roman" w:hAnsi="Times New Roman" w:cs="Times New Roman"/>
          <w:i/>
          <w:iCs/>
        </w:rPr>
        <w:t xml:space="preserve"> </w:t>
      </w:r>
      <w:r w:rsidRPr="006D5C50">
        <w:rPr>
          <w:rFonts w:ascii="Times New Roman" w:hAnsi="Times New Roman" w:cs="Times New Roman"/>
          <w:i/>
          <w:iCs/>
        </w:rPr>
        <w:t>Consta en acta de fiscalización que: “Establecimiento educacional no rinde cuenta de</w:t>
      </w:r>
      <w:r>
        <w:rPr>
          <w:rFonts w:ascii="Times New Roman" w:hAnsi="Times New Roman" w:cs="Times New Roman"/>
          <w:i/>
          <w:iCs/>
        </w:rPr>
        <w:t xml:space="preserve"> </w:t>
      </w:r>
      <w:r w:rsidRPr="006D5C50">
        <w:rPr>
          <w:rFonts w:ascii="Times New Roman" w:hAnsi="Times New Roman" w:cs="Times New Roman"/>
          <w:i/>
          <w:iCs/>
        </w:rPr>
        <w:t>subvenciones indicadas en acápite 3.1. de la presente Acta de Fiscalización</w:t>
      </w:r>
      <w:r w:rsidRPr="006D5C50">
        <w:rPr>
          <w:rFonts w:ascii="Times New Roman" w:hAnsi="Times New Roman" w:cs="Times New Roman"/>
        </w:rPr>
        <w:t>”.”</w:t>
      </w:r>
    </w:p>
    <w:p w:rsidR="006D5C50" w:rsidRPr="006D5C50" w:rsidRDefault="006D5C50" w:rsidP="005A4BAA">
      <w:pPr>
        <w:ind w:left="-851" w:right="142"/>
        <w:jc w:val="both"/>
        <w:rPr>
          <w:rFonts w:ascii="Times New Roman" w:hAnsi="Times New Roman" w:cs="Times New Roman"/>
          <w:i/>
          <w:iCs/>
        </w:rPr>
      </w:pPr>
      <w:r w:rsidRPr="006D5C50">
        <w:rPr>
          <w:rFonts w:ascii="Times New Roman" w:hAnsi="Times New Roman" w:cs="Times New Roman"/>
        </w:rPr>
        <w:t>“</w:t>
      </w:r>
      <w:r w:rsidRPr="006D5C50">
        <w:rPr>
          <w:rFonts w:ascii="Times New Roman" w:hAnsi="Times New Roman" w:cs="Times New Roman"/>
          <w:i/>
          <w:iCs/>
        </w:rPr>
        <w:t>CARGO N° 2: HALLAZGO (40) ESTABLECIMIENTO NO CUMPLE REQUISITOS EN RENDICIÓN DE CUENTAS.</w:t>
      </w:r>
    </w:p>
    <w:p w:rsidR="006D5C50" w:rsidRDefault="006D5C50" w:rsidP="005A4BAA">
      <w:pPr>
        <w:ind w:left="-851" w:right="142"/>
        <w:jc w:val="both"/>
        <w:rPr>
          <w:rFonts w:ascii="Times New Roman" w:hAnsi="Times New Roman" w:cs="Times New Roman"/>
        </w:rPr>
      </w:pPr>
      <w:r w:rsidRPr="006D5C50">
        <w:rPr>
          <w:rFonts w:ascii="Times New Roman" w:hAnsi="Times New Roman" w:cs="Times New Roman"/>
          <w:i/>
          <w:iCs/>
        </w:rPr>
        <w:t>Sustento: ESTABLECIMIENTO RINDE CUENTAS DE MANERA TARDÍA. Consta en acta de fiscalización: “Establecimiento educacional no rinde cuenta por las subvenciones indicadas en el acápite 3.2. de la presente Acta de Fiscalización</w:t>
      </w:r>
      <w:r w:rsidRPr="006D5C50">
        <w:rPr>
          <w:rFonts w:ascii="Times New Roman" w:hAnsi="Times New Roman" w:cs="Times New Roman"/>
        </w:rPr>
        <w:t>”.</w:t>
      </w:r>
    </w:p>
    <w:p w:rsidR="006D5C50" w:rsidRPr="006D5C50" w:rsidRDefault="006D5C50" w:rsidP="005A4BAA">
      <w:pPr>
        <w:ind w:left="-851" w:right="142"/>
        <w:jc w:val="both"/>
        <w:rPr>
          <w:rFonts w:ascii="Times New Roman" w:hAnsi="Times New Roman" w:cs="Times New Roman"/>
        </w:rPr>
      </w:pPr>
      <w:r w:rsidRPr="006D5C50">
        <w:rPr>
          <w:rFonts w:ascii="Times New Roman" w:hAnsi="Times New Roman" w:cs="Times New Roman"/>
        </w:rPr>
        <w:t xml:space="preserve">3.- Que se evacuaron los descargos por esta parte. </w:t>
      </w:r>
    </w:p>
    <w:p w:rsidR="006D5C50" w:rsidRPr="006D5C50" w:rsidRDefault="006D5C50" w:rsidP="005A4BAA">
      <w:pPr>
        <w:ind w:left="-851" w:right="142"/>
        <w:jc w:val="both"/>
        <w:rPr>
          <w:rFonts w:ascii="Times New Roman" w:hAnsi="Times New Roman" w:cs="Times New Roman"/>
        </w:rPr>
      </w:pPr>
      <w:r w:rsidRPr="006D5C50">
        <w:rPr>
          <w:rFonts w:ascii="Times New Roman" w:hAnsi="Times New Roman" w:cs="Times New Roman"/>
        </w:rPr>
        <w:t>4.- Que, se evacuó Informe Final de Proceso y en éste la Fiscal Instructora,</w:t>
      </w:r>
      <w:r>
        <w:rPr>
          <w:rFonts w:ascii="Times New Roman" w:hAnsi="Times New Roman" w:cs="Times New Roman"/>
        </w:rPr>
        <w:t xml:space="preserve"> </w:t>
      </w:r>
      <w:r w:rsidRPr="006D5C50">
        <w:rPr>
          <w:rFonts w:ascii="Times New Roman" w:hAnsi="Times New Roman" w:cs="Times New Roman"/>
        </w:rPr>
        <w:t>luego de ponderar los antecedentes del proceso, estimó tener por confirmado el cargo</w:t>
      </w:r>
      <w:r>
        <w:rPr>
          <w:rFonts w:ascii="Times New Roman" w:hAnsi="Times New Roman" w:cs="Times New Roman"/>
        </w:rPr>
        <w:t xml:space="preserve"> </w:t>
      </w:r>
      <w:r w:rsidRPr="006D5C50">
        <w:rPr>
          <w:rFonts w:ascii="Times New Roman" w:hAnsi="Times New Roman" w:cs="Times New Roman"/>
        </w:rPr>
        <w:t>formulado y propone la aplicación de la sanción de multa.</w:t>
      </w:r>
    </w:p>
    <w:p w:rsidR="006D5C50" w:rsidRPr="006D5C50" w:rsidRDefault="006D5C50" w:rsidP="005A4BAA">
      <w:pPr>
        <w:ind w:left="-851" w:right="142"/>
        <w:jc w:val="both"/>
        <w:rPr>
          <w:rFonts w:ascii="Times New Roman" w:hAnsi="Times New Roman" w:cs="Times New Roman"/>
        </w:rPr>
      </w:pPr>
      <w:r w:rsidRPr="006D5C50">
        <w:rPr>
          <w:rFonts w:ascii="Times New Roman" w:hAnsi="Times New Roman" w:cs="Times New Roman"/>
        </w:rPr>
        <w:t>5- Que, mediante la Resolución Exenta N° 2015/PA/13/03630 de fecha 22 de</w:t>
      </w:r>
      <w:r>
        <w:rPr>
          <w:rFonts w:ascii="Times New Roman" w:hAnsi="Times New Roman" w:cs="Times New Roman"/>
        </w:rPr>
        <w:t xml:space="preserve"> </w:t>
      </w:r>
      <w:r w:rsidRPr="006D5C50">
        <w:rPr>
          <w:rFonts w:ascii="Times New Roman" w:hAnsi="Times New Roman" w:cs="Times New Roman"/>
        </w:rPr>
        <w:t>diciembre de 2015, la Directora Regional de la Superintendencia de Educación de la</w:t>
      </w:r>
      <w:r>
        <w:rPr>
          <w:rFonts w:ascii="Times New Roman" w:hAnsi="Times New Roman" w:cs="Times New Roman"/>
        </w:rPr>
        <w:t xml:space="preserve"> </w:t>
      </w:r>
      <w:r w:rsidRPr="006D5C50">
        <w:rPr>
          <w:rFonts w:ascii="Times New Roman" w:hAnsi="Times New Roman" w:cs="Times New Roman"/>
        </w:rPr>
        <w:t>Región Metropolitana, manifestó su conformidad con el análisis realizado por el Fiscal</w:t>
      </w:r>
      <w:r>
        <w:rPr>
          <w:rFonts w:ascii="Times New Roman" w:hAnsi="Times New Roman" w:cs="Times New Roman"/>
        </w:rPr>
        <w:t xml:space="preserve"> </w:t>
      </w:r>
      <w:r w:rsidRPr="006D5C50">
        <w:rPr>
          <w:rFonts w:ascii="Times New Roman" w:hAnsi="Times New Roman" w:cs="Times New Roman"/>
        </w:rPr>
        <w:t>Instructor, aprobó el proceso administrativo, y aplicó la sanción de multa a beneficio</w:t>
      </w:r>
      <w:r>
        <w:rPr>
          <w:rFonts w:ascii="Times New Roman" w:hAnsi="Times New Roman" w:cs="Times New Roman"/>
        </w:rPr>
        <w:t xml:space="preserve"> </w:t>
      </w:r>
      <w:r w:rsidRPr="006D5C50">
        <w:rPr>
          <w:rFonts w:ascii="Times New Roman" w:hAnsi="Times New Roman" w:cs="Times New Roman"/>
        </w:rPr>
        <w:t>fiscal de 581 UTM, la que en todo caso no podrá ser inferior al 5% ni exceder el 50% de la</w:t>
      </w:r>
      <w:r>
        <w:rPr>
          <w:rFonts w:ascii="Times New Roman" w:hAnsi="Times New Roman" w:cs="Times New Roman"/>
        </w:rPr>
        <w:t xml:space="preserve"> </w:t>
      </w:r>
      <w:r w:rsidRPr="006D5C50">
        <w:rPr>
          <w:rFonts w:ascii="Times New Roman" w:hAnsi="Times New Roman" w:cs="Times New Roman"/>
        </w:rPr>
        <w:t>subvención mensual por alumno matriculado.</w:t>
      </w:r>
    </w:p>
    <w:p w:rsidR="006D5C50" w:rsidRDefault="006D5C50" w:rsidP="005A4BAA">
      <w:pPr>
        <w:ind w:left="-851" w:right="142"/>
        <w:jc w:val="both"/>
        <w:rPr>
          <w:rFonts w:ascii="Times New Roman" w:hAnsi="Times New Roman" w:cs="Times New Roman"/>
        </w:rPr>
      </w:pPr>
      <w:r w:rsidRPr="006D5C50">
        <w:rPr>
          <w:rFonts w:ascii="Times New Roman" w:hAnsi="Times New Roman" w:cs="Times New Roman"/>
        </w:rPr>
        <w:t>6.- Que, con fecha 14 de enero de 2016, esta parte interpuso recurso de</w:t>
      </w:r>
      <w:r>
        <w:rPr>
          <w:rFonts w:ascii="Times New Roman" w:hAnsi="Times New Roman" w:cs="Times New Roman"/>
        </w:rPr>
        <w:t xml:space="preserve"> </w:t>
      </w:r>
      <w:r w:rsidRPr="006D5C50">
        <w:rPr>
          <w:rFonts w:ascii="Times New Roman" w:hAnsi="Times New Roman" w:cs="Times New Roman"/>
        </w:rPr>
        <w:t>reclamación en contra de la Resolución Exenta N° 2015/PA/13/03630 de fecha 22 de</w:t>
      </w:r>
      <w:r>
        <w:rPr>
          <w:rFonts w:ascii="Times New Roman" w:hAnsi="Times New Roman" w:cs="Times New Roman"/>
        </w:rPr>
        <w:t xml:space="preserve"> </w:t>
      </w:r>
      <w:r w:rsidRPr="006D5C50">
        <w:rPr>
          <w:rFonts w:ascii="Times New Roman" w:hAnsi="Times New Roman" w:cs="Times New Roman"/>
        </w:rPr>
        <w:t>diciembre de 2015.</w:t>
      </w:r>
    </w:p>
    <w:p w:rsidR="006D5C50" w:rsidRDefault="006D5C50" w:rsidP="005A4BAA">
      <w:pPr>
        <w:ind w:left="-851" w:right="142"/>
        <w:jc w:val="both"/>
        <w:rPr>
          <w:rFonts w:ascii="Times New Roman" w:hAnsi="Times New Roman" w:cs="Times New Roman"/>
        </w:rPr>
      </w:pPr>
      <w:r w:rsidRPr="006D5C50">
        <w:rPr>
          <w:rFonts w:ascii="Times New Roman" w:hAnsi="Times New Roman" w:cs="Times New Roman"/>
        </w:rPr>
        <w:t>7.- Que, mediante la Resolución Exenta N° 002096 de fecha 23 de noviembre de</w:t>
      </w:r>
      <w:r>
        <w:rPr>
          <w:rFonts w:ascii="Times New Roman" w:hAnsi="Times New Roman" w:cs="Times New Roman"/>
        </w:rPr>
        <w:t xml:space="preserve"> </w:t>
      </w:r>
      <w:r w:rsidRPr="006D5C50">
        <w:rPr>
          <w:rFonts w:ascii="Times New Roman" w:hAnsi="Times New Roman" w:cs="Times New Roman"/>
        </w:rPr>
        <w:t>2017, la Jefe de la División Jurídica de la Superintendencia de Educación resolvió</w:t>
      </w:r>
      <w:r>
        <w:rPr>
          <w:rFonts w:ascii="Times New Roman" w:hAnsi="Times New Roman" w:cs="Times New Roman"/>
        </w:rPr>
        <w:t xml:space="preserve"> </w:t>
      </w:r>
      <w:r w:rsidRPr="006D5C50">
        <w:rPr>
          <w:rFonts w:ascii="Times New Roman" w:hAnsi="Times New Roman" w:cs="Times New Roman"/>
        </w:rPr>
        <w:t>acoger parcialmente el recurso de reclamación interpuesto por Doña Juana Gallardo</w:t>
      </w:r>
      <w:r>
        <w:rPr>
          <w:rFonts w:ascii="Times New Roman" w:hAnsi="Times New Roman" w:cs="Times New Roman"/>
        </w:rPr>
        <w:t xml:space="preserve"> </w:t>
      </w:r>
      <w:r w:rsidRPr="006D5C50">
        <w:rPr>
          <w:rFonts w:ascii="Times New Roman" w:hAnsi="Times New Roman" w:cs="Times New Roman"/>
        </w:rPr>
        <w:t>Téllez, en contra de la Resolución Exenta N° 2015/PA/13/03630 de fecha 22 de diciembre</w:t>
      </w:r>
      <w:r>
        <w:rPr>
          <w:rFonts w:ascii="Times New Roman" w:hAnsi="Times New Roman" w:cs="Times New Roman"/>
        </w:rPr>
        <w:t xml:space="preserve"> </w:t>
      </w:r>
      <w:r w:rsidRPr="006D5C50">
        <w:rPr>
          <w:rFonts w:ascii="Times New Roman" w:hAnsi="Times New Roman" w:cs="Times New Roman"/>
        </w:rPr>
        <w:t>de 2015; modificándose la sanción aplicada, por la sanción de privación parcial y</w:t>
      </w:r>
      <w:r>
        <w:rPr>
          <w:rFonts w:ascii="Times New Roman" w:hAnsi="Times New Roman" w:cs="Times New Roman"/>
        </w:rPr>
        <w:t xml:space="preserve"> </w:t>
      </w:r>
      <w:r w:rsidRPr="006D5C50">
        <w:rPr>
          <w:rFonts w:ascii="Times New Roman" w:hAnsi="Times New Roman" w:cs="Times New Roman"/>
        </w:rPr>
        <w:t>temporal de la subvención general, de un 1% por 1 mes, de conformidad al artículo 73</w:t>
      </w:r>
      <w:r>
        <w:rPr>
          <w:rFonts w:ascii="Times New Roman" w:hAnsi="Times New Roman" w:cs="Times New Roman"/>
        </w:rPr>
        <w:t xml:space="preserve"> </w:t>
      </w:r>
      <w:r w:rsidRPr="006D5C50">
        <w:rPr>
          <w:rFonts w:ascii="Times New Roman" w:hAnsi="Times New Roman" w:cs="Times New Roman"/>
        </w:rPr>
        <w:t>letra c) de la Ley 20.529.</w:t>
      </w:r>
    </w:p>
    <w:p w:rsidR="006D5C50" w:rsidRPr="006D5C50" w:rsidRDefault="006D5C50" w:rsidP="005A4BAA">
      <w:pPr>
        <w:jc w:val="both"/>
        <w:rPr>
          <w:rFonts w:ascii="Times New Roman" w:hAnsi="Times New Roman" w:cs="Times New Roman"/>
        </w:rPr>
      </w:pPr>
    </w:p>
    <w:sectPr w:rsidR="006D5C50" w:rsidRPr="006D5C50" w:rsidSect="005A4BAA">
      <w:headerReference w:type="default" r:id="rId7"/>
      <w:pgSz w:w="12240" w:h="20160" w:code="5"/>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A6A" w:rsidRDefault="00096A6A" w:rsidP="009B7FC2">
      <w:pPr>
        <w:spacing w:after="0" w:line="240" w:lineRule="auto"/>
      </w:pPr>
      <w:r>
        <w:separator/>
      </w:r>
    </w:p>
  </w:endnote>
  <w:endnote w:type="continuationSeparator" w:id="0">
    <w:p w:rsidR="00096A6A" w:rsidRDefault="00096A6A" w:rsidP="009B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A6A" w:rsidRDefault="00096A6A" w:rsidP="009B7FC2">
      <w:pPr>
        <w:spacing w:after="0" w:line="240" w:lineRule="auto"/>
      </w:pPr>
      <w:r>
        <w:separator/>
      </w:r>
    </w:p>
  </w:footnote>
  <w:footnote w:type="continuationSeparator" w:id="0">
    <w:p w:rsidR="00096A6A" w:rsidRDefault="00096A6A" w:rsidP="009B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FC2" w:rsidRPr="009B7FC2" w:rsidRDefault="009B7FC2" w:rsidP="009B7FC2">
    <w:pPr>
      <w:tabs>
        <w:tab w:val="center" w:pos="4419"/>
        <w:tab w:val="right" w:pos="8838"/>
      </w:tabs>
      <w:spacing w:after="0" w:line="240" w:lineRule="auto"/>
      <w:jc w:val="center"/>
      <w:rPr>
        <w:rFonts w:ascii="Times New Roman" w:eastAsia="Calibri" w:hAnsi="Times New Roman" w:cs="Times New Roman"/>
        <w:b/>
        <w:sz w:val="24"/>
        <w:szCs w:val="24"/>
      </w:rPr>
    </w:pPr>
    <w:r w:rsidRPr="009B7FC2">
      <w:rPr>
        <w:rFonts w:ascii="Times New Roman" w:eastAsia="Calibri" w:hAnsi="Times New Roman" w:cs="Times New Roman"/>
        <w:b/>
        <w:sz w:val="24"/>
        <w:szCs w:val="24"/>
      </w:rPr>
      <w:t xml:space="preserve">MAGÍSTER EN DERECHO LLM UC </w:t>
    </w:r>
  </w:p>
  <w:p w:rsidR="009B7FC2" w:rsidRPr="009B7FC2" w:rsidRDefault="009B7FC2" w:rsidP="009B7FC2">
    <w:pPr>
      <w:tabs>
        <w:tab w:val="center" w:pos="4419"/>
        <w:tab w:val="right" w:pos="8838"/>
      </w:tabs>
      <w:spacing w:after="0" w:line="240" w:lineRule="auto"/>
      <w:jc w:val="center"/>
      <w:rPr>
        <w:rFonts w:ascii="Times New Roman" w:eastAsia="Calibri" w:hAnsi="Times New Roman" w:cs="Times New Roman"/>
        <w:b/>
        <w:sz w:val="24"/>
        <w:szCs w:val="24"/>
      </w:rPr>
    </w:pPr>
    <w:r w:rsidRPr="009B7FC2">
      <w:rPr>
        <w:rFonts w:ascii="Times New Roman" w:eastAsia="Calibri" w:hAnsi="Times New Roman" w:cs="Times New Roman"/>
        <w:b/>
        <w:sz w:val="24"/>
        <w:szCs w:val="24"/>
      </w:rPr>
      <w:t>MENCIÓN DERECHO REGULATORIO</w:t>
    </w:r>
  </w:p>
  <w:p w:rsidR="009B7FC2" w:rsidRPr="009B7FC2" w:rsidRDefault="009B7FC2" w:rsidP="009B7FC2">
    <w:pPr>
      <w:tabs>
        <w:tab w:val="center" w:pos="4419"/>
        <w:tab w:val="right" w:pos="8838"/>
      </w:tabs>
      <w:spacing w:after="0" w:line="240" w:lineRule="auto"/>
      <w:jc w:val="center"/>
      <w:rPr>
        <w:rFonts w:ascii="Times New Roman" w:eastAsia="Calibri" w:hAnsi="Times New Roman" w:cs="Times New Roman"/>
        <w:b/>
        <w:sz w:val="24"/>
        <w:szCs w:val="24"/>
      </w:rPr>
    </w:pPr>
    <w:r w:rsidRPr="009B7FC2">
      <w:rPr>
        <w:rFonts w:ascii="Times New Roman" w:eastAsia="Calibri" w:hAnsi="Times New Roman" w:cs="Times New Roman"/>
        <w:b/>
        <w:sz w:val="24"/>
        <w:szCs w:val="24"/>
      </w:rPr>
      <w:t>SEMINARIO DE CASOS</w:t>
    </w:r>
  </w:p>
  <w:p w:rsidR="009B7FC2" w:rsidRPr="009B7FC2" w:rsidRDefault="009B7FC2" w:rsidP="009B7FC2">
    <w:pPr>
      <w:tabs>
        <w:tab w:val="center" w:pos="4419"/>
        <w:tab w:val="right" w:pos="8838"/>
      </w:tabs>
      <w:spacing w:after="0" w:line="240" w:lineRule="auto"/>
      <w:jc w:val="center"/>
      <w:rPr>
        <w:rFonts w:ascii="Times New Roman" w:eastAsia="Calibri" w:hAnsi="Times New Roman" w:cs="Times New Roman"/>
        <w:b/>
        <w:sz w:val="24"/>
        <w:szCs w:val="24"/>
      </w:rPr>
    </w:pPr>
    <w:r w:rsidRPr="009B7FC2">
      <w:rPr>
        <w:rFonts w:ascii="Times New Roman" w:eastAsia="Calibri" w:hAnsi="Times New Roman" w:cs="Times New Roman"/>
        <w:b/>
        <w:sz w:val="24"/>
        <w:szCs w:val="24"/>
      </w:rPr>
      <w:t>MÓDULO “FUNCIÓN PÚBLICA”</w:t>
    </w:r>
  </w:p>
  <w:p w:rsidR="009B7FC2" w:rsidRDefault="009B7FC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0443E"/>
    <w:multiLevelType w:val="hybridMultilevel"/>
    <w:tmpl w:val="F3FEE898"/>
    <w:lvl w:ilvl="0" w:tplc="762CF192">
      <w:start w:val="3"/>
      <w:numFmt w:val="bullet"/>
      <w:lvlText w:val="-"/>
      <w:lvlJc w:val="left"/>
      <w:pPr>
        <w:ind w:left="720" w:hanging="360"/>
      </w:pPr>
      <w:rPr>
        <w:rFonts w:ascii="Times New Roman" w:eastAsia="Calibr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C2"/>
    <w:rsid w:val="00070123"/>
    <w:rsid w:val="00096A6A"/>
    <w:rsid w:val="000E143D"/>
    <w:rsid w:val="00190AC3"/>
    <w:rsid w:val="0026212B"/>
    <w:rsid w:val="00432D72"/>
    <w:rsid w:val="00465B4A"/>
    <w:rsid w:val="005954E6"/>
    <w:rsid w:val="005A4BAA"/>
    <w:rsid w:val="006D5C50"/>
    <w:rsid w:val="006E5540"/>
    <w:rsid w:val="0096218D"/>
    <w:rsid w:val="00974643"/>
    <w:rsid w:val="00986475"/>
    <w:rsid w:val="009B7FC2"/>
    <w:rsid w:val="00A44288"/>
    <w:rsid w:val="00B846DC"/>
    <w:rsid w:val="00C35E7A"/>
    <w:rsid w:val="00E01145"/>
    <w:rsid w:val="00FD638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E3564F-390D-4C33-9538-86E11346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7F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B7FC2"/>
  </w:style>
  <w:style w:type="paragraph" w:styleId="Piedepgina">
    <w:name w:val="footer"/>
    <w:basedOn w:val="Normal"/>
    <w:link w:val="PiedepginaCar"/>
    <w:uiPriority w:val="99"/>
    <w:unhideWhenUsed/>
    <w:rsid w:val="009B7F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B7FC2"/>
  </w:style>
  <w:style w:type="table" w:styleId="Tablaconcuadrcula">
    <w:name w:val="Table Grid"/>
    <w:basedOn w:val="Tablanormal"/>
    <w:uiPriority w:val="39"/>
    <w:rsid w:val="00A44288"/>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6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5266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Alfonso Bobadilla Rodriguez</dc:creator>
  <cp:lastModifiedBy>Cristóbal Osorio</cp:lastModifiedBy>
  <cp:revision>2</cp:revision>
  <dcterms:created xsi:type="dcterms:W3CDTF">2019-09-23T14:23:00Z</dcterms:created>
  <dcterms:modified xsi:type="dcterms:W3CDTF">2019-09-23T14:23:00Z</dcterms:modified>
</cp:coreProperties>
</file>