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4AB9B" w14:textId="77777777" w:rsidR="006D3394" w:rsidRPr="00110B71" w:rsidRDefault="003D0EF1" w:rsidP="00BF27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Ficha de Sentencia</w:t>
      </w:r>
      <w:r w:rsidR="00110B71" w:rsidRPr="00110B71">
        <w:rPr>
          <w:rFonts w:ascii="Times New Roman" w:hAnsi="Times New Roman" w:cs="Times New Roman"/>
          <w:b/>
          <w:sz w:val="24"/>
          <w:szCs w:val="24"/>
          <w:u w:val="single"/>
        </w:rPr>
        <w:t>: Grupo Nº 2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33"/>
        <w:gridCol w:w="1872"/>
        <w:gridCol w:w="7655"/>
      </w:tblGrid>
      <w:tr w:rsidR="00D8341F" w:rsidRPr="00C03D56" w14:paraId="73885836" w14:textId="77777777" w:rsidTr="00946024">
        <w:tc>
          <w:tcPr>
            <w:tcW w:w="533" w:type="dxa"/>
          </w:tcPr>
          <w:p w14:paraId="63D43722" w14:textId="77777777" w:rsidR="00D8341F" w:rsidRPr="00C03D56" w:rsidRDefault="00D8341F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72" w:type="dxa"/>
          </w:tcPr>
          <w:p w14:paraId="5F53FA4D" w14:textId="6FB2CB4A" w:rsidR="00D8341F" w:rsidRPr="00C03D56" w:rsidRDefault="00D8341F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Caso</w:t>
            </w:r>
            <w:r w:rsidR="009460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14:paraId="33B64BD7" w14:textId="64886019" w:rsidR="00D8341F" w:rsidRPr="00C03D56" w:rsidRDefault="006C4945" w:rsidP="00DD3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Planta de Revisión Técnica</w:t>
            </w:r>
          </w:p>
        </w:tc>
      </w:tr>
      <w:tr w:rsidR="00D8341F" w:rsidRPr="00C03D56" w14:paraId="03A7C6F5" w14:textId="77777777" w:rsidTr="00946024">
        <w:tc>
          <w:tcPr>
            <w:tcW w:w="533" w:type="dxa"/>
          </w:tcPr>
          <w:p w14:paraId="50ACF90A" w14:textId="77777777" w:rsidR="00D8341F" w:rsidRPr="00C03D56" w:rsidRDefault="00D8341F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872" w:type="dxa"/>
          </w:tcPr>
          <w:p w14:paraId="16DAE45B" w14:textId="392DDA48" w:rsidR="00D8341F" w:rsidRPr="00C03D56" w:rsidRDefault="00D8341F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Pregunta jurídica del caso</w:t>
            </w:r>
            <w:r w:rsidR="009460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14:paraId="667723DD" w14:textId="0191BFF1" w:rsidR="00D8341F" w:rsidRPr="00C03D56" w:rsidRDefault="005260C8" w:rsidP="00DD3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¿Debe existir dolo o culpa del presunto infractor o basta el mero incumplimiento de la norma</w:t>
            </w:r>
            <w:r w:rsidR="006C4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para que se configure la culpabilidad, y</w:t>
            </w:r>
            <w:r w:rsidR="00D778F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por tanto, se </w:t>
            </w:r>
            <w:r w:rsidR="00D778FF">
              <w:rPr>
                <w:rFonts w:ascii="Times New Roman" w:hAnsi="Times New Roman"/>
                <w:sz w:val="24"/>
                <w:szCs w:val="24"/>
              </w:rPr>
              <w:t>aplique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una sanción administrativa?</w:t>
            </w:r>
          </w:p>
        </w:tc>
      </w:tr>
      <w:tr w:rsidR="00D8341F" w:rsidRPr="00C03D56" w14:paraId="437BAF2A" w14:textId="77777777" w:rsidTr="00946024">
        <w:trPr>
          <w:trHeight w:val="58"/>
        </w:trPr>
        <w:tc>
          <w:tcPr>
            <w:tcW w:w="533" w:type="dxa"/>
          </w:tcPr>
          <w:p w14:paraId="5688472C" w14:textId="77777777" w:rsidR="00D8341F" w:rsidRPr="00C03D56" w:rsidRDefault="00D8341F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14:paraId="451F363B" w14:textId="494400CF" w:rsidR="00D8341F" w:rsidRPr="00C03D56" w:rsidRDefault="00D8341F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Materia</w:t>
            </w:r>
            <w:r w:rsidR="009460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14:paraId="597047B4" w14:textId="6ECD7F96" w:rsidR="00D8341F" w:rsidRPr="00C03D56" w:rsidRDefault="005260C8" w:rsidP="00DD3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Apelación de </w:t>
            </w:r>
            <w:r w:rsidR="00877762">
              <w:rPr>
                <w:rFonts w:ascii="Times New Roman" w:hAnsi="Times New Roman"/>
                <w:sz w:val="24"/>
                <w:szCs w:val="24"/>
              </w:rPr>
              <w:t>Recurso de Protección</w:t>
            </w:r>
          </w:p>
        </w:tc>
      </w:tr>
      <w:tr w:rsidR="00A11C5E" w:rsidRPr="00C03D56" w14:paraId="07A1AC5E" w14:textId="77777777" w:rsidTr="00946024">
        <w:trPr>
          <w:trHeight w:val="58"/>
        </w:trPr>
        <w:tc>
          <w:tcPr>
            <w:tcW w:w="533" w:type="dxa"/>
          </w:tcPr>
          <w:p w14:paraId="35988A66" w14:textId="1A90C916" w:rsidR="00A11C5E" w:rsidRPr="00C03D56" w:rsidRDefault="00A11C5E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14:paraId="380245CB" w14:textId="79E095F9" w:rsidR="00A11C5E" w:rsidRPr="00C03D56" w:rsidRDefault="00A11C5E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Palabras clave:</w:t>
            </w:r>
          </w:p>
        </w:tc>
        <w:tc>
          <w:tcPr>
            <w:tcW w:w="7655" w:type="dxa"/>
          </w:tcPr>
          <w:p w14:paraId="4A3C5550" w14:textId="1C7853F0" w:rsidR="00A11C5E" w:rsidRDefault="00591E08" w:rsidP="00DD3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946024">
              <w:rPr>
                <w:rFonts w:ascii="Times New Roman" w:hAnsi="Times New Roman"/>
                <w:sz w:val="24"/>
                <w:szCs w:val="24"/>
              </w:rPr>
              <w:t xml:space="preserve">eber de </w:t>
            </w:r>
            <w:r w:rsidR="00A11C5E">
              <w:rPr>
                <w:rFonts w:ascii="Times New Roman" w:hAnsi="Times New Roman"/>
                <w:sz w:val="24"/>
                <w:szCs w:val="24"/>
              </w:rPr>
              <w:t>cuidado, reproche</w:t>
            </w:r>
            <w:r w:rsidR="009460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culpa infraccional.</w:t>
            </w:r>
          </w:p>
        </w:tc>
      </w:tr>
      <w:tr w:rsidR="00D8341F" w:rsidRPr="00C03D56" w14:paraId="3BCB3B21" w14:textId="77777777" w:rsidTr="00946024">
        <w:tc>
          <w:tcPr>
            <w:tcW w:w="533" w:type="dxa"/>
          </w:tcPr>
          <w:p w14:paraId="7AFBB1E0" w14:textId="07F7D477" w:rsidR="00D8341F" w:rsidRPr="00C03D56" w:rsidRDefault="00A11C5E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8341F" w:rsidRPr="00C03D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14:paraId="24E3D37D" w14:textId="77777777" w:rsidR="00D8341F" w:rsidRPr="00C03D56" w:rsidRDefault="00D8341F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Rol:</w:t>
            </w:r>
          </w:p>
        </w:tc>
        <w:tc>
          <w:tcPr>
            <w:tcW w:w="7655" w:type="dxa"/>
          </w:tcPr>
          <w:p w14:paraId="533538A7" w14:textId="738CFB86" w:rsidR="00D8341F" w:rsidRPr="00C03D56" w:rsidRDefault="006C4945" w:rsidP="00DD3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I.C.A. Talca 1014-2017; C.S. </w:t>
            </w:r>
            <w:r w:rsidR="00877762">
              <w:rPr>
                <w:rFonts w:ascii="Times New Roman" w:hAnsi="Times New Roman"/>
                <w:sz w:val="24"/>
                <w:szCs w:val="24"/>
              </w:rPr>
              <w:t>35.784-2017</w:t>
            </w:r>
          </w:p>
        </w:tc>
      </w:tr>
      <w:tr w:rsidR="00D8341F" w:rsidRPr="00C03D56" w14:paraId="1E3730BF" w14:textId="77777777" w:rsidTr="00946024">
        <w:tc>
          <w:tcPr>
            <w:tcW w:w="533" w:type="dxa"/>
          </w:tcPr>
          <w:p w14:paraId="7EA8405E" w14:textId="64911604" w:rsidR="00D8341F" w:rsidRPr="00C03D56" w:rsidRDefault="00A11C5E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8341F" w:rsidRPr="00C03D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14:paraId="17BA5F1F" w14:textId="77777777" w:rsidR="00D8341F" w:rsidRPr="00C03D56" w:rsidRDefault="00D8341F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Recurrente:</w:t>
            </w:r>
          </w:p>
        </w:tc>
        <w:tc>
          <w:tcPr>
            <w:tcW w:w="7655" w:type="dxa"/>
          </w:tcPr>
          <w:p w14:paraId="63DFDD3C" w14:textId="1E24CBC5" w:rsidR="00D8341F" w:rsidRPr="00C03D56" w:rsidRDefault="00D5163F" w:rsidP="00DD3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77762">
              <w:rPr>
                <w:rFonts w:ascii="Times New Roman" w:hAnsi="Times New Roman"/>
                <w:sz w:val="24"/>
                <w:szCs w:val="24"/>
              </w:rPr>
              <w:t>evisiones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762">
              <w:rPr>
                <w:rFonts w:ascii="Times New Roman" w:hAnsi="Times New Roman"/>
                <w:sz w:val="24"/>
                <w:szCs w:val="24"/>
              </w:rPr>
              <w:t>Técnicas MIVAL Metropolitana Ltda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341F" w:rsidRPr="00C03D56" w14:paraId="386C691B" w14:textId="77777777" w:rsidTr="00946024">
        <w:tc>
          <w:tcPr>
            <w:tcW w:w="533" w:type="dxa"/>
          </w:tcPr>
          <w:p w14:paraId="4655E315" w14:textId="6E5717D5" w:rsidR="00D8341F" w:rsidRPr="00C03D56" w:rsidRDefault="00A11C5E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8341F" w:rsidRPr="00C03D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14:paraId="67F57258" w14:textId="77777777" w:rsidR="00D8341F" w:rsidRPr="00C03D56" w:rsidRDefault="00D8341F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Recurrido:</w:t>
            </w:r>
          </w:p>
        </w:tc>
        <w:tc>
          <w:tcPr>
            <w:tcW w:w="7655" w:type="dxa"/>
          </w:tcPr>
          <w:p w14:paraId="4E309261" w14:textId="1682EA37" w:rsidR="00D8341F" w:rsidRPr="00C03D56" w:rsidRDefault="00D5163F" w:rsidP="00877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762">
              <w:rPr>
                <w:rFonts w:ascii="Times New Roman" w:hAnsi="Times New Roman"/>
                <w:sz w:val="24"/>
                <w:szCs w:val="24"/>
              </w:rPr>
              <w:t>Secretaría Regional Ministerial de Transporte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 Telecomunicaciones del Maule</w:t>
            </w:r>
          </w:p>
        </w:tc>
      </w:tr>
      <w:tr w:rsidR="00D8341F" w:rsidRPr="00C03D56" w14:paraId="7DEFD177" w14:textId="77777777" w:rsidTr="00946024">
        <w:trPr>
          <w:trHeight w:val="400"/>
        </w:trPr>
        <w:tc>
          <w:tcPr>
            <w:tcW w:w="533" w:type="dxa"/>
          </w:tcPr>
          <w:p w14:paraId="320910CB" w14:textId="3CCC72A3" w:rsidR="00D8341F" w:rsidRPr="00C03D56" w:rsidRDefault="00A11C5E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8341F" w:rsidRPr="00C03D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14:paraId="20D60960" w14:textId="77777777" w:rsidR="00D8341F" w:rsidRPr="00C03D56" w:rsidRDefault="00D8341F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Integración:</w:t>
            </w:r>
          </w:p>
        </w:tc>
        <w:tc>
          <w:tcPr>
            <w:tcW w:w="7655" w:type="dxa"/>
          </w:tcPr>
          <w:p w14:paraId="4E32623E" w14:textId="2AA03D26" w:rsidR="00D8341F" w:rsidRPr="00C03D56" w:rsidRDefault="00877762" w:rsidP="00DD3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Ministros Sr. Sergio Muñoz G., Sra. Rosa Egnem S., Sra. María Eugenia Sandoval G., Sr. Carlos Aránguiz Z., y Sr. Arturo Prado P.</w:t>
            </w:r>
          </w:p>
        </w:tc>
      </w:tr>
      <w:tr w:rsidR="00D8341F" w:rsidRPr="00C03D56" w14:paraId="2145F47B" w14:textId="77777777" w:rsidTr="00946024">
        <w:trPr>
          <w:trHeight w:val="356"/>
        </w:trPr>
        <w:tc>
          <w:tcPr>
            <w:tcW w:w="533" w:type="dxa"/>
          </w:tcPr>
          <w:p w14:paraId="7443C67A" w14:textId="111573AB" w:rsidR="00D8341F" w:rsidRPr="00C03D56" w:rsidRDefault="00A11C5E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8341F" w:rsidRPr="00C03D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14:paraId="67222716" w14:textId="77777777" w:rsidR="00D8341F" w:rsidRPr="00C03D56" w:rsidRDefault="00D8341F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Redacción:</w:t>
            </w:r>
          </w:p>
        </w:tc>
        <w:tc>
          <w:tcPr>
            <w:tcW w:w="7655" w:type="dxa"/>
          </w:tcPr>
          <w:p w14:paraId="24425F12" w14:textId="77777777" w:rsidR="00D8341F" w:rsidRPr="00C03D56" w:rsidRDefault="00877762" w:rsidP="00877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Ministro Sr. Arturo Prado; Prevención por Ministra Sra. Rosa Egnem.</w:t>
            </w:r>
          </w:p>
        </w:tc>
      </w:tr>
      <w:tr w:rsidR="00D8341F" w:rsidRPr="00C03D56" w14:paraId="63C8DE6B" w14:textId="77777777" w:rsidTr="00946024">
        <w:trPr>
          <w:trHeight w:val="356"/>
        </w:trPr>
        <w:tc>
          <w:tcPr>
            <w:tcW w:w="533" w:type="dxa"/>
          </w:tcPr>
          <w:p w14:paraId="13C0DC57" w14:textId="3400BE30" w:rsidR="00D8341F" w:rsidRPr="00C03D56" w:rsidRDefault="00D8341F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11C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14:paraId="68D1BE49" w14:textId="77777777" w:rsidR="00D8341F" w:rsidRPr="00C03D56" w:rsidRDefault="00D8341F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Votación:</w:t>
            </w:r>
          </w:p>
        </w:tc>
        <w:tc>
          <w:tcPr>
            <w:tcW w:w="7655" w:type="dxa"/>
          </w:tcPr>
          <w:p w14:paraId="517DD7B3" w14:textId="77777777" w:rsidR="00D8341F" w:rsidRPr="00C03D56" w:rsidRDefault="00877762" w:rsidP="00DD3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Unánime, con una prevención.</w:t>
            </w:r>
          </w:p>
        </w:tc>
      </w:tr>
      <w:tr w:rsidR="00D8341F" w:rsidRPr="00C03D56" w14:paraId="65870701" w14:textId="77777777" w:rsidTr="00946024">
        <w:trPr>
          <w:trHeight w:val="70"/>
        </w:trPr>
        <w:tc>
          <w:tcPr>
            <w:tcW w:w="533" w:type="dxa"/>
          </w:tcPr>
          <w:p w14:paraId="2C099A65" w14:textId="0C55B40E" w:rsidR="00D8341F" w:rsidRPr="00C03D56" w:rsidRDefault="00D8341F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11C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872" w:type="dxa"/>
          </w:tcPr>
          <w:p w14:paraId="0774E146" w14:textId="77777777" w:rsidR="00D8341F" w:rsidRPr="00C03D56" w:rsidRDefault="00D8341F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Considerandos relevantes:</w:t>
            </w:r>
          </w:p>
        </w:tc>
        <w:tc>
          <w:tcPr>
            <w:tcW w:w="7655" w:type="dxa"/>
          </w:tcPr>
          <w:p w14:paraId="785D5040" w14:textId="7C634A0D" w:rsidR="00CC06E5" w:rsidRDefault="00CC06E5" w:rsidP="00F83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CD2">
              <w:rPr>
                <w:rFonts w:ascii="Times New Roman" w:hAnsi="Times New Roman"/>
                <w:b/>
                <w:bCs/>
                <w:sz w:val="24"/>
                <w:szCs w:val="24"/>
              </w:rPr>
              <w:t>Quinto</w:t>
            </w:r>
            <w:r w:rsidR="000930D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 r</w:t>
            </w:r>
            <w:r w:rsidR="00705CD2">
              <w:rPr>
                <w:rFonts w:ascii="Times New Roman" w:hAnsi="Times New Roman"/>
                <w:sz w:val="24"/>
                <w:szCs w:val="24"/>
              </w:rPr>
              <w:t xml:space="preserve">eproche </w:t>
            </w:r>
            <w:r>
              <w:rPr>
                <w:rFonts w:ascii="Times New Roman" w:hAnsi="Times New Roman"/>
                <w:sz w:val="24"/>
                <w:szCs w:val="24"/>
              </w:rPr>
              <w:t>consiste en la</w:t>
            </w:r>
            <w:r w:rsidR="00705CD2">
              <w:rPr>
                <w:rFonts w:ascii="Times New Roman" w:hAnsi="Times New Roman"/>
                <w:sz w:val="24"/>
                <w:szCs w:val="24"/>
              </w:rPr>
              <w:t xml:space="preserve"> falta de </w:t>
            </w:r>
            <w:r>
              <w:rPr>
                <w:rFonts w:ascii="Times New Roman" w:hAnsi="Times New Roman"/>
                <w:sz w:val="24"/>
                <w:szCs w:val="24"/>
              </w:rPr>
              <w:t>supervigilancia que debe tener el concesionario sobre sus trabajadores.</w:t>
            </w:r>
            <w:r w:rsidR="00705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61B249" w14:textId="27F9A0B7" w:rsidR="00CC06E5" w:rsidRDefault="00705CD2" w:rsidP="00F83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CD2">
              <w:rPr>
                <w:rFonts w:ascii="Times New Roman" w:hAnsi="Times New Roman"/>
                <w:b/>
                <w:bCs/>
                <w:sz w:val="24"/>
                <w:szCs w:val="24"/>
              </w:rPr>
              <w:t>Sexto</w:t>
            </w:r>
            <w:r w:rsidR="000930D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0D1">
              <w:rPr>
                <w:rFonts w:ascii="Times New Roman" w:hAnsi="Times New Roman"/>
                <w:sz w:val="24"/>
                <w:szCs w:val="24"/>
              </w:rPr>
              <w:t xml:space="preserve">Desarrollo por parte del concesionario de un nivel de </w:t>
            </w:r>
            <w:r w:rsidR="000930D1" w:rsidRPr="00A845F6">
              <w:rPr>
                <w:rFonts w:ascii="Times New Roman" w:hAnsi="Times New Roman"/>
                <w:sz w:val="24"/>
                <w:szCs w:val="24"/>
              </w:rPr>
              <w:t xml:space="preserve">cuidado de </w:t>
            </w:r>
            <w:r w:rsidR="00A845F6" w:rsidRPr="00A845F6">
              <w:rPr>
                <w:rFonts w:ascii="Times New Roman" w:hAnsi="Times New Roman"/>
                <w:sz w:val="24"/>
                <w:szCs w:val="24"/>
              </w:rPr>
              <w:t>carácter objetivo.</w:t>
            </w:r>
          </w:p>
          <w:p w14:paraId="7AD68C01" w14:textId="3A601123" w:rsidR="000930D1" w:rsidRDefault="00705CD2" w:rsidP="00F83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CD2">
              <w:rPr>
                <w:rFonts w:ascii="Times New Roman" w:hAnsi="Times New Roman"/>
                <w:b/>
                <w:bCs/>
                <w:sz w:val="24"/>
                <w:szCs w:val="24"/>
              </w:rPr>
              <w:t>Séptimo</w:t>
            </w:r>
            <w:r w:rsidR="000930D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0D1">
              <w:rPr>
                <w:rFonts w:ascii="Times New Roman" w:hAnsi="Times New Roman"/>
                <w:sz w:val="24"/>
                <w:szCs w:val="24"/>
              </w:rPr>
              <w:t xml:space="preserve">Los particulares deben observar un especial estándar objetivo de cuidado en servicios monopólicos. </w:t>
            </w:r>
          </w:p>
          <w:p w14:paraId="2870A94A" w14:textId="77777777" w:rsidR="000930D1" w:rsidRPr="000930D1" w:rsidRDefault="00705CD2" w:rsidP="000930D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CD2">
              <w:rPr>
                <w:rFonts w:ascii="Times New Roman" w:hAnsi="Times New Roman"/>
                <w:b/>
                <w:bCs/>
                <w:sz w:val="24"/>
                <w:szCs w:val="24"/>
              </w:rPr>
              <w:t>Noveno</w:t>
            </w:r>
            <w:r w:rsidR="000930D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F83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0D1">
              <w:rPr>
                <w:rFonts w:ascii="Times New Roman" w:hAnsi="Times New Roman"/>
                <w:sz w:val="24"/>
                <w:szCs w:val="24"/>
              </w:rPr>
              <w:t>No existe una identificación entre la responsabilidad penal con la administrativa.</w:t>
            </w:r>
          </w:p>
          <w:p w14:paraId="29F2DFF8" w14:textId="193641CC" w:rsidR="006C4945" w:rsidRPr="00C03D56" w:rsidRDefault="003E2072" w:rsidP="00CC06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Und</w:t>
            </w:r>
            <w:r w:rsidR="000930D1" w:rsidRPr="000930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écimo: </w:t>
            </w:r>
            <w:r w:rsidR="00CC06E5">
              <w:rPr>
                <w:rFonts w:ascii="Times New Roman" w:hAnsi="Times New Roman"/>
                <w:sz w:val="24"/>
                <w:szCs w:val="24"/>
              </w:rPr>
              <w:t>La s</w:t>
            </w:r>
            <w:r w:rsidR="00F83CB8">
              <w:rPr>
                <w:rFonts w:ascii="Times New Roman" w:hAnsi="Times New Roman"/>
                <w:sz w:val="24"/>
                <w:szCs w:val="24"/>
              </w:rPr>
              <w:t>anción impuesta</w:t>
            </w:r>
            <w:r w:rsidR="00CC06E5">
              <w:rPr>
                <w:rFonts w:ascii="Times New Roman" w:hAnsi="Times New Roman"/>
                <w:sz w:val="24"/>
                <w:szCs w:val="24"/>
              </w:rPr>
              <w:t xml:space="preserve"> por la SEREMI</w:t>
            </w:r>
            <w:r w:rsidR="00F83CB8">
              <w:rPr>
                <w:rFonts w:ascii="Times New Roman" w:hAnsi="Times New Roman"/>
                <w:sz w:val="24"/>
                <w:szCs w:val="24"/>
              </w:rPr>
              <w:t xml:space="preserve"> deriva de procedimiento determinado, resuelto por autoridad competente </w:t>
            </w:r>
            <w:r w:rsidR="0089654A">
              <w:rPr>
                <w:rFonts w:ascii="Times New Roman" w:hAnsi="Times New Roman"/>
                <w:sz w:val="24"/>
                <w:szCs w:val="24"/>
              </w:rPr>
              <w:t>d</w:t>
            </w:r>
            <w:r w:rsidR="00F83CB8">
              <w:rPr>
                <w:rFonts w:ascii="Times New Roman" w:hAnsi="Times New Roman"/>
                <w:sz w:val="24"/>
                <w:szCs w:val="24"/>
              </w:rPr>
              <w:t>entro de su potestad administrativa sancionadora</w:t>
            </w:r>
            <w:r w:rsidR="00CC0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341F" w:rsidRPr="00C03D56" w14:paraId="1B5BF831" w14:textId="77777777" w:rsidTr="00946024">
        <w:trPr>
          <w:trHeight w:val="70"/>
        </w:trPr>
        <w:tc>
          <w:tcPr>
            <w:tcW w:w="533" w:type="dxa"/>
          </w:tcPr>
          <w:p w14:paraId="0824B05F" w14:textId="66686E69" w:rsidR="00D8341F" w:rsidRPr="00C03D56" w:rsidRDefault="00D8341F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11C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872" w:type="dxa"/>
          </w:tcPr>
          <w:p w14:paraId="028EDB6C" w14:textId="4BB1C86D" w:rsidR="00D8341F" w:rsidRPr="00C03D56" w:rsidRDefault="00D8341F" w:rsidP="00DD31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Comentario</w:t>
            </w:r>
            <w:r w:rsidR="009460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14:paraId="4792231C" w14:textId="0D896C03" w:rsidR="0000025D" w:rsidRDefault="0000025D" w:rsidP="00DD3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sentencia en estudio contiene varios elementos </w:t>
            </w:r>
            <w:r w:rsidR="00F83CB8">
              <w:rPr>
                <w:rFonts w:ascii="Times New Roman" w:hAnsi="Times New Roman"/>
                <w:sz w:val="24"/>
                <w:szCs w:val="24"/>
              </w:rPr>
              <w:t xml:space="preserve">sobre aplicación de principios </w:t>
            </w:r>
            <w:r w:rsidR="007F5514">
              <w:rPr>
                <w:rFonts w:ascii="Times New Roman" w:hAnsi="Times New Roman"/>
                <w:sz w:val="24"/>
                <w:szCs w:val="24"/>
              </w:rPr>
              <w:t>sustantivos del Derecho Administrativo Sancionador,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pero que no fueron desarrollados cabalmente. En efecto, al revocar la sentencia de la Ilustrísima Corte de Apelaciones de Talca, desvirtuando el concepto de tipicidad extrapolado </w:t>
            </w:r>
            <w:r w:rsidR="007F5514">
              <w:rPr>
                <w:rFonts w:ascii="Times New Roman" w:hAnsi="Times New Roman"/>
                <w:sz w:val="24"/>
                <w:szCs w:val="24"/>
              </w:rPr>
              <w:t xml:space="preserve">por ella </w:t>
            </w:r>
            <w:r>
              <w:rPr>
                <w:rFonts w:ascii="Times New Roman" w:hAnsi="Times New Roman"/>
                <w:sz w:val="24"/>
                <w:szCs w:val="24"/>
              </w:rPr>
              <w:t>de manera idéntica desde el derecho penal al derecho administrativo sancionador, hubiese sido conveniente que la Excelentísima Corte Suprema hubiese profundizado en dichos argumentos</w:t>
            </w:r>
            <w:r w:rsidR="00F83C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pues era uno de los elementos centrales de la discusión entre las partes</w:t>
            </w:r>
            <w:r w:rsidR="00F83CB8">
              <w:rPr>
                <w:rFonts w:ascii="Times New Roman" w:hAnsi="Times New Roman"/>
                <w:sz w:val="24"/>
                <w:szCs w:val="24"/>
              </w:rPr>
              <w:t xml:space="preserve"> y el argumento de la Corte de Talca para acoger el recurso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91E0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14:paraId="25149219" w14:textId="227DCB61" w:rsidR="008875BC" w:rsidRDefault="0000025D" w:rsidP="00DD3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Otro aspecto que es conveniente resaltar es </w:t>
            </w:r>
            <w:r w:rsidR="005B4ABF">
              <w:rPr>
                <w:rFonts w:ascii="Times New Roman" w:hAnsi="Times New Roman"/>
                <w:sz w:val="24"/>
                <w:szCs w:val="24"/>
              </w:rPr>
              <w:t>que no alude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la atribución de la sanción a título de dolo o culpa</w:t>
            </w:r>
            <w:r w:rsidR="0089654A">
              <w:rPr>
                <w:rFonts w:ascii="Times New Roman" w:hAnsi="Times New Roman"/>
                <w:sz w:val="24"/>
                <w:szCs w:val="24"/>
              </w:rPr>
              <w:t xml:space="preserve"> al analizar la aplicación del principio de culpabilidad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A este respecto, la sentencia </w:t>
            </w:r>
            <w:r w:rsidR="008875BC">
              <w:rPr>
                <w:rFonts w:ascii="Times New Roman" w:hAnsi="Times New Roman"/>
                <w:sz w:val="24"/>
                <w:szCs w:val="24"/>
              </w:rPr>
              <w:t>se aparta</w:t>
            </w:r>
            <w:r w:rsidR="009E6230">
              <w:rPr>
                <w:rFonts w:ascii="Times New Roman" w:hAnsi="Times New Roman"/>
                <w:sz w:val="24"/>
                <w:szCs w:val="24"/>
              </w:rPr>
              <w:t>ría tanto</w:t>
            </w:r>
            <w:r w:rsidR="008875BC">
              <w:rPr>
                <w:rFonts w:ascii="Times New Roman" w:hAnsi="Times New Roman"/>
                <w:sz w:val="24"/>
                <w:szCs w:val="24"/>
              </w:rPr>
              <w:t xml:space="preserve"> de la</w:t>
            </w:r>
            <w:r w:rsidR="009E6230">
              <w:rPr>
                <w:rFonts w:ascii="Times New Roman" w:hAnsi="Times New Roman"/>
                <w:sz w:val="24"/>
                <w:szCs w:val="24"/>
              </w:rPr>
              <w:t xml:space="preserve"> mayoría de la</w:t>
            </w:r>
            <w:r w:rsidR="008875BC">
              <w:rPr>
                <w:rFonts w:ascii="Times New Roman" w:hAnsi="Times New Roman"/>
                <w:sz w:val="24"/>
                <w:szCs w:val="24"/>
              </w:rPr>
              <w:t xml:space="preserve"> doctrina nacional y de la jurisprudencia del Tribunal Constitucional, que </w:t>
            </w:r>
            <w:r w:rsidR="009E6230">
              <w:rPr>
                <w:rFonts w:ascii="Times New Roman" w:hAnsi="Times New Roman"/>
                <w:sz w:val="24"/>
                <w:szCs w:val="24"/>
              </w:rPr>
              <w:t>consideran la culpabilidad como un elemento para la configuración de la responsabilidad administrativa, exigiendo la reprochabilidad de la conducta del sujeto (carácter subjetivo)</w:t>
            </w:r>
            <w:r w:rsidR="009E6230">
              <w:rPr>
                <w:rStyle w:val="Refdenotaalpie"/>
                <w:rFonts w:ascii="Times New Roman" w:hAnsi="Times New Roman"/>
                <w:sz w:val="24"/>
                <w:szCs w:val="24"/>
              </w:rPr>
              <w:footnoteReference w:id="1"/>
            </w:r>
            <w:r w:rsidR="009E62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Por el contrario, </w:t>
            </w:r>
            <w:r w:rsidR="003E2072">
              <w:rPr>
                <w:rFonts w:ascii="Times New Roman" w:hAnsi="Times New Roman"/>
                <w:sz w:val="24"/>
                <w:szCs w:val="24"/>
              </w:rPr>
              <w:t xml:space="preserve">según ha hecho notar el </w:t>
            </w:r>
            <w:r w:rsidR="003E2072">
              <w:rPr>
                <w:rFonts w:ascii="Times New Roman" w:hAnsi="Times New Roman"/>
                <w:sz w:val="24"/>
                <w:szCs w:val="24"/>
              </w:rPr>
              <w:lastRenderedPageBreak/>
              <w:t>Profesor Luis Cordero</w:t>
            </w:r>
            <w:r w:rsidR="003E2072">
              <w:rPr>
                <w:rStyle w:val="Refdenotaalpie"/>
                <w:rFonts w:ascii="Times New Roman" w:hAnsi="Times New Roman"/>
                <w:sz w:val="24"/>
                <w:szCs w:val="24"/>
              </w:rPr>
              <w:footnoteReference w:id="2"/>
            </w:r>
            <w:r w:rsidR="003E20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="00F83CB8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orte sigue un criterio sobre el cual, dada la especial posición de obediencia por parte de los entes sujetos a fiscalización, bastaría </w:t>
            </w:r>
            <w:r w:rsidR="003E2072">
              <w:rPr>
                <w:rFonts w:ascii="Times New Roman" w:hAnsi="Times New Roman"/>
                <w:sz w:val="24"/>
                <w:szCs w:val="24"/>
              </w:rPr>
              <w:t xml:space="preserve">con </w:t>
            </w:r>
            <w:r>
              <w:rPr>
                <w:rFonts w:ascii="Times New Roman" w:hAnsi="Times New Roman"/>
                <w:sz w:val="24"/>
                <w:szCs w:val="24"/>
              </w:rPr>
              <w:t>acreditar el estándar de diligencia infringido establecid</w:t>
            </w:r>
            <w:r w:rsidRPr="00591E08">
              <w:rPr>
                <w:rFonts w:ascii="Times New Roman" w:hAnsi="Times New Roman"/>
                <w:sz w:val="24"/>
                <w:szCs w:val="24"/>
              </w:rPr>
              <w:t>o</w:t>
            </w:r>
            <w:r w:rsidR="00A845F6" w:rsidRPr="00591E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 sea por el legislador o la autoridad para dar por establecida la culpa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infraccional</w:t>
            </w:r>
            <w:proofErr w:type="spellEnd"/>
            <w:r w:rsidR="003E2072">
              <w:rPr>
                <w:rFonts w:ascii="Times New Roman" w:hAnsi="Times New Roman"/>
                <w:sz w:val="24"/>
                <w:szCs w:val="24"/>
              </w:rPr>
              <w:t>, lo cual ha sido la tendencia de los últimos años de la Corte Suprema, en especial en servicios públicos regulados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33662E" w14:textId="6686EF48" w:rsidR="009E6230" w:rsidRDefault="0000025D" w:rsidP="00DD3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ese sentido, la</w:t>
            </w:r>
            <w:r w:rsidR="009E6230">
              <w:rPr>
                <w:rFonts w:ascii="Times New Roman" w:hAnsi="Times New Roman"/>
                <w:sz w:val="24"/>
                <w:szCs w:val="24"/>
              </w:rPr>
              <w:t xml:space="preserve"> Corte hace un análisis sobre las características del servicio entregado, el cual corresponde a “un servicio público concesionado, territorialmente monopólico y densamente regulado…”</w:t>
            </w:r>
            <w:r w:rsidR="009E6230">
              <w:rPr>
                <w:rStyle w:val="Refdenotaalpie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21B6">
              <w:rPr>
                <w:rFonts w:ascii="Times New Roman" w:hAnsi="Times New Roman"/>
                <w:sz w:val="24"/>
                <w:szCs w:val="24"/>
              </w:rPr>
              <w:t xml:space="preserve">por lo que la solicitud de propinas por parte de los trabajadores de la empresa constituye una falta de un especial deber de cuidado (Considerando </w:t>
            </w:r>
            <w:r w:rsidR="005B4ABF">
              <w:rPr>
                <w:rFonts w:ascii="Times New Roman" w:hAnsi="Times New Roman"/>
                <w:sz w:val="24"/>
                <w:szCs w:val="24"/>
              </w:rPr>
              <w:t>o</w:t>
            </w:r>
            <w:r w:rsidR="003C21B6">
              <w:rPr>
                <w:rFonts w:ascii="Times New Roman" w:hAnsi="Times New Roman"/>
                <w:sz w:val="24"/>
                <w:szCs w:val="24"/>
              </w:rPr>
              <w:t>ctavo), lo cual es especialmente censurable como un incumplimiento a un deber objetivo de cuidado (Considerando séptimo), en atención a las características ya señaladas del servicio.</w:t>
            </w:r>
          </w:p>
          <w:p w14:paraId="6C016DCD" w14:textId="5A8799DC" w:rsidR="00591E08" w:rsidRPr="00591E08" w:rsidRDefault="00221D8B" w:rsidP="00591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591E08" w:rsidRPr="00591E08">
              <w:rPr>
                <w:rFonts w:ascii="Times New Roman" w:hAnsi="Times New Roman"/>
                <w:sz w:val="24"/>
                <w:szCs w:val="24"/>
              </w:rPr>
              <w:t>el análisis que se hace en esta sentencia se puede extraer el criterio consistente en que la tipicidad en materia administrativa no es idéntica ni asimilable a la tipicidad en materia penal, por lo que puede existir una sanción residual, establecida en una norma infra legal.</w:t>
            </w:r>
          </w:p>
          <w:p w14:paraId="11220D31" w14:textId="70FC4F6C" w:rsidR="006C4945" w:rsidRDefault="00591E08" w:rsidP="007F5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E08">
              <w:rPr>
                <w:rFonts w:ascii="Times New Roman" w:hAnsi="Times New Roman"/>
                <w:sz w:val="24"/>
                <w:szCs w:val="24"/>
              </w:rPr>
              <w:t>En conclusión</w:t>
            </w:r>
            <w:r w:rsidR="003E2072" w:rsidRPr="00591E08">
              <w:rPr>
                <w:rFonts w:ascii="Times New Roman" w:hAnsi="Times New Roman"/>
                <w:sz w:val="24"/>
                <w:szCs w:val="24"/>
              </w:rPr>
              <w:t>,</w:t>
            </w:r>
            <w:r w:rsidR="003E2072">
              <w:rPr>
                <w:rFonts w:ascii="Times New Roman" w:hAnsi="Times New Roman"/>
                <w:sz w:val="24"/>
                <w:szCs w:val="24"/>
              </w:rPr>
              <w:t xml:space="preserve"> en relación </w:t>
            </w:r>
            <w:r w:rsidR="00946024">
              <w:rPr>
                <w:rFonts w:ascii="Times New Roman" w:hAnsi="Times New Roman"/>
                <w:sz w:val="24"/>
                <w:szCs w:val="24"/>
              </w:rPr>
              <w:t>con el</w:t>
            </w:r>
            <w:r w:rsidR="003E2072">
              <w:rPr>
                <w:rFonts w:ascii="Times New Roman" w:hAnsi="Times New Roman"/>
                <w:sz w:val="24"/>
                <w:szCs w:val="24"/>
              </w:rPr>
              <w:t xml:space="preserve"> principio</w:t>
            </w:r>
            <w:r w:rsidR="00946024">
              <w:rPr>
                <w:rFonts w:ascii="Times New Roman" w:hAnsi="Times New Roman"/>
                <w:sz w:val="24"/>
                <w:szCs w:val="24"/>
              </w:rPr>
              <w:t xml:space="preserve"> de culpabilidad,</w:t>
            </w:r>
            <w:r w:rsidR="00945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 Corte Suprema </w:t>
            </w:r>
            <w:r w:rsidR="00945580">
              <w:rPr>
                <w:rFonts w:ascii="Times New Roman" w:hAnsi="Times New Roman"/>
                <w:sz w:val="24"/>
                <w:szCs w:val="24"/>
              </w:rPr>
              <w:t xml:space="preserve">establece </w:t>
            </w:r>
            <w:r w:rsidR="00946024">
              <w:rPr>
                <w:rFonts w:ascii="Times New Roman" w:hAnsi="Times New Roman"/>
                <w:sz w:val="24"/>
                <w:szCs w:val="24"/>
              </w:rPr>
              <w:t>la obligación</w:t>
            </w:r>
            <w:r w:rsidR="00945580">
              <w:rPr>
                <w:rFonts w:ascii="Times New Roman" w:hAnsi="Times New Roman"/>
                <w:sz w:val="24"/>
                <w:szCs w:val="24"/>
              </w:rPr>
              <w:t xml:space="preserve"> de quienes prestan estos servicios en un carácter de monopolio o exclusividad, </w:t>
            </w:r>
            <w:r w:rsidR="00946024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945580">
              <w:rPr>
                <w:rFonts w:ascii="Times New Roman" w:hAnsi="Times New Roman"/>
                <w:sz w:val="24"/>
                <w:szCs w:val="24"/>
              </w:rPr>
              <w:t xml:space="preserve">desarrollar un deber de cuidado, consistente en que el </w:t>
            </w:r>
            <w:bookmarkEnd w:id="0"/>
            <w:r w:rsidR="00945580">
              <w:rPr>
                <w:rFonts w:ascii="Times New Roman" w:hAnsi="Times New Roman"/>
                <w:sz w:val="24"/>
                <w:szCs w:val="24"/>
              </w:rPr>
              <w:t>servicio que se presta cumpla con los niveles de exigencia objetiva que se exige a un ciudadano promedio. Se añade</w:t>
            </w:r>
            <w:r w:rsidR="00946024">
              <w:rPr>
                <w:rFonts w:ascii="Times New Roman" w:hAnsi="Times New Roman"/>
                <w:sz w:val="24"/>
                <w:szCs w:val="24"/>
              </w:rPr>
              <w:t>,</w:t>
            </w:r>
            <w:r w:rsidR="00945580">
              <w:rPr>
                <w:rFonts w:ascii="Times New Roman" w:hAnsi="Times New Roman"/>
                <w:sz w:val="24"/>
                <w:szCs w:val="24"/>
              </w:rPr>
              <w:t xml:space="preserve"> además, que este nivel de conducta </w:t>
            </w:r>
            <w:r w:rsidR="00797E8C">
              <w:rPr>
                <w:rFonts w:ascii="Times New Roman" w:hAnsi="Times New Roman"/>
                <w:sz w:val="24"/>
                <w:szCs w:val="24"/>
              </w:rPr>
              <w:t>es especialmente exigible cuando el sancionado reviste alguna característica especial asociada a una especialidad, experiencia o cuota de mercado determinada</w:t>
            </w:r>
            <w:r w:rsidR="007F5514">
              <w:rPr>
                <w:rFonts w:ascii="Times New Roman" w:hAnsi="Times New Roman"/>
                <w:sz w:val="24"/>
                <w:szCs w:val="24"/>
              </w:rPr>
              <w:t>, como ocurre en el caso de autos</w:t>
            </w:r>
            <w:r w:rsidR="00797E8C">
              <w:rPr>
                <w:rFonts w:ascii="Times New Roman" w:hAnsi="Times New Roman"/>
                <w:sz w:val="24"/>
                <w:szCs w:val="24"/>
              </w:rPr>
              <w:t>.</w:t>
            </w:r>
            <w:r w:rsidR="00A845F6">
              <w:rPr>
                <w:rFonts w:ascii="Times New Roman" w:hAnsi="Times New Roman"/>
                <w:sz w:val="24"/>
                <w:szCs w:val="24"/>
              </w:rPr>
              <w:t xml:space="preserve"> Y que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845F6">
              <w:rPr>
                <w:rFonts w:ascii="Times New Roman" w:hAnsi="Times New Roman"/>
                <w:sz w:val="24"/>
                <w:szCs w:val="24"/>
              </w:rPr>
              <w:t xml:space="preserve"> por tanto, en caso de acreditarse la infracción o la mera inobservancia de la norma por parte del regulado, en este caso el concesionario, se puede dar por establecida la culpa, </w:t>
            </w:r>
            <w:proofErr w:type="gramStart"/>
            <w:r w:rsidR="00A845F6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="00A845F6">
              <w:rPr>
                <w:rFonts w:ascii="Times New Roman" w:hAnsi="Times New Roman"/>
                <w:sz w:val="24"/>
                <w:szCs w:val="24"/>
              </w:rPr>
              <w:t xml:space="preserve"> por tanto, procede la aplicación de la sanción.</w:t>
            </w:r>
          </w:p>
          <w:p w14:paraId="3D846679" w14:textId="01B50227" w:rsidR="00335A5E" w:rsidRPr="00C03D56" w:rsidRDefault="00335A5E" w:rsidP="007F5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opinión de este grupo, la sentencia constituye un avance en el entendimiento del Derecho Administrativo Sancionador. La razón radica en que parece tener en cu</w:t>
            </w:r>
            <w:r w:rsidR="0094602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nta situaciones fácticas que son relevantes al momento de imponer una sanción, más allá de la discusión teórica del dolo o la culpa. En ese sentido, estamos de acuerdo en que el estándar de diligencia sea un criterio a considerar al momento de determinar la procedencia de la sanción, máxime en casos de regulación sensible como lo son los contratos de concesiones </w:t>
            </w:r>
            <w:r w:rsidR="00946024">
              <w:rPr>
                <w:rFonts w:ascii="Times New Roman" w:hAnsi="Times New Roman"/>
                <w:sz w:val="24"/>
                <w:szCs w:val="24"/>
              </w:rPr>
              <w:t xml:space="preserve">de servicios </w:t>
            </w:r>
            <w:r>
              <w:rPr>
                <w:rFonts w:ascii="Times New Roman" w:hAnsi="Times New Roman"/>
                <w:sz w:val="24"/>
                <w:szCs w:val="24"/>
              </w:rPr>
              <w:t>públic</w:t>
            </w:r>
            <w:r w:rsidR="00946024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91E08">
              <w:rPr>
                <w:rFonts w:ascii="Times New Roman" w:hAnsi="Times New Roman"/>
                <w:sz w:val="24"/>
                <w:szCs w:val="24"/>
              </w:rPr>
              <w:t xml:space="preserve">. Es por ello, que a través de la utilización de la culpa </w:t>
            </w:r>
            <w:proofErr w:type="spellStart"/>
            <w:r w:rsidR="00591E08">
              <w:rPr>
                <w:rFonts w:ascii="Times New Roman" w:hAnsi="Times New Roman"/>
                <w:sz w:val="24"/>
                <w:szCs w:val="24"/>
              </w:rPr>
              <w:t>infraccional</w:t>
            </w:r>
            <w:proofErr w:type="spellEnd"/>
            <w:r w:rsidR="00591E08">
              <w:rPr>
                <w:rFonts w:ascii="Times New Roman" w:hAnsi="Times New Roman"/>
                <w:sz w:val="24"/>
                <w:szCs w:val="24"/>
              </w:rPr>
              <w:t xml:space="preserve"> en casos como el de autos para determinar la infracción a una norma de conducta objetiva, 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manifiesta uno de los fines del Derecho Administrativo Sanci</w:t>
            </w:r>
            <w:r w:rsidR="00946024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946024">
              <w:rPr>
                <w:rFonts w:ascii="Times New Roman" w:hAnsi="Times New Roman"/>
                <w:sz w:val="24"/>
                <w:szCs w:val="24"/>
              </w:rPr>
              <w:t>ador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esto es, obtener un comportamiento social </w:t>
            </w:r>
            <w:r w:rsidR="00A845F6">
              <w:rPr>
                <w:rFonts w:ascii="Times New Roman" w:hAnsi="Times New Roman"/>
                <w:sz w:val="24"/>
                <w:szCs w:val="24"/>
              </w:rPr>
              <w:t>determinado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24D3E2D" w14:textId="77777777" w:rsidR="00D8341F" w:rsidRDefault="00D8341F"/>
    <w:sectPr w:rsidR="00D8341F" w:rsidSect="00946024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6A346" w14:textId="77777777" w:rsidR="00613977" w:rsidRDefault="00613977" w:rsidP="00404D9F">
      <w:pPr>
        <w:spacing w:after="0" w:line="240" w:lineRule="auto"/>
      </w:pPr>
      <w:r>
        <w:separator/>
      </w:r>
    </w:p>
  </w:endnote>
  <w:endnote w:type="continuationSeparator" w:id="0">
    <w:p w14:paraId="12B0E820" w14:textId="77777777" w:rsidR="00613977" w:rsidRDefault="00613977" w:rsidP="0040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5C5C4" w14:textId="77777777" w:rsidR="00613977" w:rsidRDefault="00613977" w:rsidP="00404D9F">
      <w:pPr>
        <w:spacing w:after="0" w:line="240" w:lineRule="auto"/>
      </w:pPr>
      <w:r>
        <w:separator/>
      </w:r>
    </w:p>
  </w:footnote>
  <w:footnote w:type="continuationSeparator" w:id="0">
    <w:p w14:paraId="26C47101" w14:textId="77777777" w:rsidR="00613977" w:rsidRDefault="00613977" w:rsidP="00404D9F">
      <w:pPr>
        <w:spacing w:after="0" w:line="240" w:lineRule="auto"/>
      </w:pPr>
      <w:r>
        <w:continuationSeparator/>
      </w:r>
    </w:p>
  </w:footnote>
  <w:footnote w:id="1">
    <w:p w14:paraId="571712EE" w14:textId="02B1E212" w:rsidR="009E6230" w:rsidRPr="009E6230" w:rsidRDefault="009E6230" w:rsidP="00236F0A">
      <w:pPr>
        <w:pStyle w:val="Textonotapie"/>
        <w:jc w:val="both"/>
        <w:rPr>
          <w:rFonts w:ascii="Times New Roman" w:hAnsi="Times New Roman" w:cs="Times New Roman"/>
        </w:rPr>
      </w:pPr>
      <w:r w:rsidRPr="009E6230">
        <w:rPr>
          <w:rStyle w:val="Refdenotaalpie"/>
          <w:rFonts w:ascii="Times New Roman" w:hAnsi="Times New Roman" w:cs="Times New Roman"/>
        </w:rPr>
        <w:footnoteRef/>
      </w:r>
      <w:r w:rsidRPr="009E6230">
        <w:rPr>
          <w:rFonts w:ascii="Times New Roman" w:hAnsi="Times New Roman" w:cs="Times New Roman"/>
        </w:rPr>
        <w:t xml:space="preserve"> </w:t>
      </w:r>
      <w:r w:rsidR="00236F0A" w:rsidRPr="00404D9F">
        <w:rPr>
          <w:rFonts w:ascii="Times New Roman" w:hAnsi="Times New Roman" w:cs="Times New Roman"/>
          <w:smallCaps/>
        </w:rPr>
        <w:t xml:space="preserve">Cordero </w:t>
      </w:r>
      <w:proofErr w:type="spellStart"/>
      <w:r w:rsidR="00236F0A" w:rsidRPr="00404D9F">
        <w:rPr>
          <w:rFonts w:ascii="Times New Roman" w:hAnsi="Times New Roman" w:cs="Times New Roman"/>
          <w:smallCaps/>
        </w:rPr>
        <w:t>Quinzacara</w:t>
      </w:r>
      <w:proofErr w:type="spellEnd"/>
      <w:r w:rsidR="00236F0A" w:rsidRPr="00404D9F">
        <w:rPr>
          <w:rFonts w:ascii="Times New Roman" w:hAnsi="Times New Roman" w:cs="Times New Roman"/>
        </w:rPr>
        <w:t xml:space="preserve">, Eduardo (2014), “Los principios que rigen la potestad sancionadora de la Administración en el Derecho Chileno”, en </w:t>
      </w:r>
      <w:r w:rsidR="00236F0A" w:rsidRPr="00404D9F">
        <w:rPr>
          <w:rFonts w:ascii="Times New Roman" w:hAnsi="Times New Roman" w:cs="Times New Roman"/>
          <w:i/>
          <w:iCs/>
        </w:rPr>
        <w:t>Revista de Derecho de la Pontificia Universidad Católica de Valparaíso</w:t>
      </w:r>
      <w:r w:rsidR="00236F0A" w:rsidRPr="00404D9F">
        <w:rPr>
          <w:rFonts w:ascii="Times New Roman" w:hAnsi="Times New Roman" w:cs="Times New Roman"/>
        </w:rPr>
        <w:t>, XLII, 1° Semestre 2014, Valparaíso, Chile</w:t>
      </w:r>
      <w:r w:rsidR="00236F0A">
        <w:rPr>
          <w:rFonts w:ascii="Times New Roman" w:hAnsi="Times New Roman" w:cs="Times New Roman"/>
        </w:rPr>
        <w:t>.</w:t>
      </w:r>
      <w:r w:rsidRPr="009E6230">
        <w:rPr>
          <w:rFonts w:ascii="Times New Roman" w:hAnsi="Times New Roman" w:cs="Times New Roman"/>
        </w:rPr>
        <w:t xml:space="preserve"> pp. 421 y 422.</w:t>
      </w:r>
    </w:p>
  </w:footnote>
  <w:footnote w:id="2">
    <w:p w14:paraId="696409FB" w14:textId="77777777" w:rsidR="003E2072" w:rsidRDefault="003E2072" w:rsidP="003E207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36F0A">
        <w:rPr>
          <w:rFonts w:ascii="Times New Roman" w:hAnsi="Times New Roman" w:cs="Times New Roman"/>
          <w:smallCaps/>
        </w:rPr>
        <w:t xml:space="preserve">Cordero </w:t>
      </w:r>
      <w:r>
        <w:rPr>
          <w:rFonts w:ascii="Times New Roman" w:hAnsi="Times New Roman" w:cs="Times New Roman"/>
          <w:smallCaps/>
        </w:rPr>
        <w:t>Vega</w:t>
      </w:r>
      <w:r w:rsidRPr="00236F0A">
        <w:rPr>
          <w:rFonts w:ascii="Times New Roman" w:hAnsi="Times New Roman" w:cs="Times New Roman"/>
        </w:rPr>
        <w:t>, Luis (2014), “Lecciones de Derecho Administrativo”, Thompson Reuters, Segunda Edición, año 2015, Santiago Chile. Pp. 503-504.</w:t>
      </w:r>
    </w:p>
  </w:footnote>
  <w:footnote w:id="3">
    <w:p w14:paraId="43BC52A4" w14:textId="396953CD" w:rsidR="009E6230" w:rsidRPr="00BF2732" w:rsidRDefault="009E6230">
      <w:pPr>
        <w:pStyle w:val="Textonotapie"/>
        <w:rPr>
          <w:rFonts w:ascii="Times New Roman" w:hAnsi="Times New Roman" w:cs="Times New Roman"/>
        </w:rPr>
      </w:pPr>
      <w:r w:rsidRPr="00BF2732">
        <w:rPr>
          <w:rStyle w:val="Refdenotaalpie"/>
          <w:rFonts w:ascii="Times New Roman" w:hAnsi="Times New Roman" w:cs="Times New Roman"/>
        </w:rPr>
        <w:footnoteRef/>
      </w:r>
      <w:r w:rsidRPr="00BF2732">
        <w:rPr>
          <w:rFonts w:ascii="Times New Roman" w:hAnsi="Times New Roman" w:cs="Times New Roman"/>
        </w:rPr>
        <w:t xml:space="preserve"> Considerando 7°, sentencia Corte Suprema, Rol N° 35.</w:t>
      </w:r>
      <w:r w:rsidR="00BF2732" w:rsidRPr="00BF2732">
        <w:rPr>
          <w:rFonts w:ascii="Times New Roman" w:hAnsi="Times New Roman" w:cs="Times New Roman"/>
        </w:rPr>
        <w:t>784-2017.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5951"/>
    <w:multiLevelType w:val="hybridMultilevel"/>
    <w:tmpl w:val="1C4E56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1232A"/>
    <w:multiLevelType w:val="hybridMultilevel"/>
    <w:tmpl w:val="30FCB9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1F"/>
    <w:rsid w:val="0000025D"/>
    <w:rsid w:val="000930D1"/>
    <w:rsid w:val="00094F9C"/>
    <w:rsid w:val="00110B71"/>
    <w:rsid w:val="001223B8"/>
    <w:rsid w:val="001E430F"/>
    <w:rsid w:val="00221D8B"/>
    <w:rsid w:val="00236F0A"/>
    <w:rsid w:val="0032417A"/>
    <w:rsid w:val="00335A5E"/>
    <w:rsid w:val="00384369"/>
    <w:rsid w:val="003C21B6"/>
    <w:rsid w:val="003D0EF1"/>
    <w:rsid w:val="003E2072"/>
    <w:rsid w:val="00404D9F"/>
    <w:rsid w:val="00406036"/>
    <w:rsid w:val="004A080E"/>
    <w:rsid w:val="004C406D"/>
    <w:rsid w:val="005260C8"/>
    <w:rsid w:val="00553B38"/>
    <w:rsid w:val="00591E08"/>
    <w:rsid w:val="005B4ABF"/>
    <w:rsid w:val="00613977"/>
    <w:rsid w:val="00673700"/>
    <w:rsid w:val="006C4945"/>
    <w:rsid w:val="006D3394"/>
    <w:rsid w:val="00705CD2"/>
    <w:rsid w:val="00791B7C"/>
    <w:rsid w:val="00797E8C"/>
    <w:rsid w:val="007A1193"/>
    <w:rsid w:val="007E7B48"/>
    <w:rsid w:val="007F5514"/>
    <w:rsid w:val="00877762"/>
    <w:rsid w:val="008875BC"/>
    <w:rsid w:val="0089654A"/>
    <w:rsid w:val="008F042B"/>
    <w:rsid w:val="009216E2"/>
    <w:rsid w:val="00945580"/>
    <w:rsid w:val="00946024"/>
    <w:rsid w:val="009D37ED"/>
    <w:rsid w:val="009E6230"/>
    <w:rsid w:val="00A11C5E"/>
    <w:rsid w:val="00A23B1B"/>
    <w:rsid w:val="00A278DB"/>
    <w:rsid w:val="00A845F6"/>
    <w:rsid w:val="00AC0F36"/>
    <w:rsid w:val="00AD44A3"/>
    <w:rsid w:val="00B20E20"/>
    <w:rsid w:val="00BF2732"/>
    <w:rsid w:val="00CC06E5"/>
    <w:rsid w:val="00D27741"/>
    <w:rsid w:val="00D5163F"/>
    <w:rsid w:val="00D778FF"/>
    <w:rsid w:val="00D8341F"/>
    <w:rsid w:val="00E96524"/>
    <w:rsid w:val="00EB5245"/>
    <w:rsid w:val="00F71E04"/>
    <w:rsid w:val="00F75D02"/>
    <w:rsid w:val="00F83CB8"/>
    <w:rsid w:val="00FA55AD"/>
    <w:rsid w:val="00F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295F"/>
  <w15:chartTrackingRefBased/>
  <w15:docId w15:val="{7E0C15AE-FAB3-44D0-811C-C678C9E0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41F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04D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4D9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4D9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04D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D9F"/>
  </w:style>
  <w:style w:type="paragraph" w:styleId="Piedepgina">
    <w:name w:val="footer"/>
    <w:basedOn w:val="Normal"/>
    <w:link w:val="PiedepginaCar"/>
    <w:uiPriority w:val="99"/>
    <w:unhideWhenUsed/>
    <w:rsid w:val="00404D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D9F"/>
  </w:style>
  <w:style w:type="character" w:styleId="Refdecomentario">
    <w:name w:val="annotation reference"/>
    <w:basedOn w:val="Fuentedeprrafopredeter"/>
    <w:uiPriority w:val="99"/>
    <w:semiHidden/>
    <w:unhideWhenUsed/>
    <w:rsid w:val="004060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60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60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60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603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D75CC-DAB7-49C4-AFAA-E21644A1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ALEJANDRA LABRIN PALMA</dc:creator>
  <cp:keywords/>
  <dc:description/>
  <cp:lastModifiedBy>Cristóbal Osorio</cp:lastModifiedBy>
  <cp:revision>2</cp:revision>
  <dcterms:created xsi:type="dcterms:W3CDTF">2019-09-23T14:08:00Z</dcterms:created>
  <dcterms:modified xsi:type="dcterms:W3CDTF">2019-09-23T14:08:00Z</dcterms:modified>
</cp:coreProperties>
</file>