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CBD9" w14:textId="77777777" w:rsidR="001C4226" w:rsidRPr="005B3A67" w:rsidRDefault="001C4226" w:rsidP="001C4226">
      <w:pPr>
        <w:spacing w:after="0" w:line="360" w:lineRule="auto"/>
        <w:jc w:val="both"/>
        <w:rPr>
          <w:rFonts w:ascii="Garamond" w:eastAsia="MS Mincho" w:hAnsi="Garamond"/>
          <w:lang w:val="es-ES" w:eastAsia="es-ES"/>
        </w:rPr>
      </w:pPr>
    </w:p>
    <w:p w14:paraId="541C2EAE" w14:textId="77777777" w:rsidR="001C4226" w:rsidRPr="005B3A67" w:rsidRDefault="001C4226" w:rsidP="001C4226">
      <w:pPr>
        <w:spacing w:after="0" w:line="360" w:lineRule="auto"/>
        <w:jc w:val="both"/>
        <w:rPr>
          <w:rFonts w:ascii="Garamond" w:eastAsia="MS Mincho" w:hAnsi="Garamond"/>
          <w:lang w:val="es-ES" w:eastAsia="es-ES"/>
        </w:rPr>
      </w:pPr>
    </w:p>
    <w:p w14:paraId="5837BAE0" w14:textId="7D6EDD6F" w:rsidR="001C4226" w:rsidRDefault="001C4226" w:rsidP="001C4226">
      <w:pPr>
        <w:spacing w:after="0" w:line="360" w:lineRule="auto"/>
        <w:jc w:val="center"/>
        <w:rPr>
          <w:rFonts w:ascii="Garamond" w:eastAsia="MS Mincho" w:hAnsi="Garamond"/>
          <w:lang w:val="es-ES" w:eastAsia="es-ES"/>
        </w:rPr>
      </w:pPr>
      <w:r>
        <w:rPr>
          <w:rFonts w:ascii="Times New Roman" w:eastAsia="Times New Roman" w:hAnsi="Times New Roman"/>
          <w:noProof/>
          <w:sz w:val="20"/>
          <w:szCs w:val="20"/>
          <w:lang w:eastAsia="es-CL"/>
        </w:rPr>
        <w:drawing>
          <wp:inline distT="0" distB="0" distL="0" distR="0" wp14:anchorId="696EC24A" wp14:editId="109D4BBA">
            <wp:extent cx="3238500" cy="3238500"/>
            <wp:effectExtent l="0" t="0" r="0" b="0"/>
            <wp:docPr id="2" name="Imagen 2" descr="Universidad_Catolica_de_Chile_logo-7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_Catolica_de_Chile_logo-700x7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0958CB8F" w14:textId="77777777" w:rsidR="004F1F25" w:rsidRDefault="004F1F25" w:rsidP="004F1F25">
      <w:pPr>
        <w:spacing w:before="120" w:after="120" w:line="360" w:lineRule="auto"/>
        <w:jc w:val="center"/>
        <w:rPr>
          <w:rFonts w:ascii="Arial" w:eastAsia="Times New Roman" w:hAnsi="Arial" w:cs="Arial"/>
          <w:b/>
          <w:sz w:val="24"/>
          <w:szCs w:val="24"/>
          <w:lang w:eastAsia="es-CL"/>
        </w:rPr>
      </w:pPr>
      <w:r>
        <w:rPr>
          <w:rFonts w:ascii="Arial" w:eastAsia="Times New Roman" w:hAnsi="Arial" w:cs="Arial"/>
          <w:b/>
          <w:sz w:val="24"/>
          <w:szCs w:val="24"/>
          <w:lang w:eastAsia="es-CL"/>
        </w:rPr>
        <w:t>SEMINARIO DE CASOS: MÓ</w:t>
      </w:r>
      <w:bookmarkStart w:id="0" w:name="_GoBack"/>
      <w:bookmarkEnd w:id="0"/>
      <w:r>
        <w:rPr>
          <w:rFonts w:ascii="Arial" w:eastAsia="Times New Roman" w:hAnsi="Arial" w:cs="Arial"/>
          <w:b/>
          <w:sz w:val="24"/>
          <w:szCs w:val="24"/>
          <w:lang w:eastAsia="es-CL"/>
        </w:rPr>
        <w:t>DULO II</w:t>
      </w:r>
      <w:r w:rsidRPr="00E627C6">
        <w:rPr>
          <w:rFonts w:ascii="Arial" w:eastAsia="Times New Roman" w:hAnsi="Arial" w:cs="Arial"/>
          <w:b/>
          <w:sz w:val="24"/>
          <w:szCs w:val="24"/>
          <w:lang w:eastAsia="es-CL"/>
        </w:rPr>
        <w:t xml:space="preserve"> </w:t>
      </w:r>
    </w:p>
    <w:p w14:paraId="60458A6D" w14:textId="51356B0E" w:rsidR="004F1F25" w:rsidRPr="004F1F25" w:rsidRDefault="004F1F25" w:rsidP="004F1F25">
      <w:pPr>
        <w:spacing w:before="120" w:after="120" w:line="360" w:lineRule="auto"/>
        <w:jc w:val="center"/>
        <w:rPr>
          <w:rFonts w:ascii="Arial" w:eastAsia="Times New Roman" w:hAnsi="Arial" w:cs="Arial"/>
          <w:b/>
          <w:sz w:val="24"/>
          <w:szCs w:val="24"/>
          <w:lang w:eastAsia="es-CL"/>
        </w:rPr>
      </w:pPr>
      <w:r w:rsidRPr="00E627C6">
        <w:rPr>
          <w:rFonts w:ascii="Arial" w:eastAsia="Times New Roman" w:hAnsi="Arial" w:cs="Arial"/>
          <w:b/>
          <w:sz w:val="24"/>
          <w:szCs w:val="24"/>
          <w:lang w:eastAsia="es-CL"/>
        </w:rPr>
        <w:t>“</w:t>
      </w:r>
      <w:r>
        <w:rPr>
          <w:rFonts w:ascii="Arial" w:eastAsia="Times New Roman" w:hAnsi="Arial" w:cs="Arial"/>
          <w:b/>
          <w:sz w:val="24"/>
          <w:szCs w:val="24"/>
          <w:lang w:eastAsia="es-CL"/>
        </w:rPr>
        <w:t>DERECHO ADMINISTRATIVO SANCIONADOR</w:t>
      </w:r>
      <w:r w:rsidRPr="00E627C6">
        <w:rPr>
          <w:rFonts w:ascii="Arial" w:eastAsia="Times New Roman" w:hAnsi="Arial" w:cs="Arial"/>
          <w:b/>
          <w:sz w:val="24"/>
          <w:szCs w:val="24"/>
          <w:lang w:eastAsia="es-CL"/>
        </w:rPr>
        <w:t>”</w:t>
      </w:r>
    </w:p>
    <w:p w14:paraId="66DC6B49" w14:textId="50C47BE4" w:rsidR="004F1F25" w:rsidRPr="00E627C6" w:rsidRDefault="004F1F25" w:rsidP="004F1F25">
      <w:pPr>
        <w:spacing w:before="120" w:after="120" w:line="360" w:lineRule="auto"/>
        <w:jc w:val="center"/>
        <w:rPr>
          <w:rFonts w:ascii="Arial" w:eastAsia="Times New Roman" w:hAnsi="Arial" w:cs="Arial"/>
          <w:b/>
          <w:sz w:val="24"/>
          <w:szCs w:val="24"/>
          <w:lang w:eastAsia="es-CL"/>
        </w:rPr>
      </w:pPr>
      <w:r w:rsidRPr="00E627C6">
        <w:rPr>
          <w:rFonts w:ascii="Arial" w:eastAsia="Times New Roman" w:hAnsi="Arial" w:cs="Arial"/>
          <w:b/>
          <w:sz w:val="24"/>
          <w:szCs w:val="24"/>
          <w:lang w:eastAsia="es-CL"/>
        </w:rPr>
        <w:t xml:space="preserve">PROFESOR: </w:t>
      </w:r>
      <w:r>
        <w:rPr>
          <w:rFonts w:ascii="Arial" w:eastAsia="Times New Roman" w:hAnsi="Arial" w:cs="Arial"/>
          <w:b/>
          <w:sz w:val="24"/>
          <w:szCs w:val="24"/>
          <w:lang w:eastAsia="es-CL"/>
        </w:rPr>
        <w:t>CRISTÓBAL OSORIO VARGAS</w:t>
      </w:r>
    </w:p>
    <w:p w14:paraId="310CBABE" w14:textId="77777777" w:rsidR="004F1F25" w:rsidRPr="00E627C6" w:rsidRDefault="004F1F25" w:rsidP="004F1F25">
      <w:pPr>
        <w:spacing w:before="120" w:after="120" w:line="360" w:lineRule="auto"/>
        <w:jc w:val="center"/>
        <w:rPr>
          <w:rFonts w:ascii="Arial" w:eastAsia="Times New Roman" w:hAnsi="Arial" w:cs="Arial"/>
          <w:b/>
          <w:sz w:val="24"/>
          <w:szCs w:val="24"/>
          <w:lang w:eastAsia="es-CL"/>
        </w:rPr>
      </w:pPr>
    </w:p>
    <w:p w14:paraId="5064E217" w14:textId="77777777" w:rsidR="004F1F25" w:rsidRPr="00E627C6" w:rsidRDefault="004F1F25" w:rsidP="004F1F25">
      <w:pPr>
        <w:spacing w:before="120" w:after="120" w:line="360" w:lineRule="auto"/>
        <w:jc w:val="center"/>
        <w:rPr>
          <w:rFonts w:ascii="Arial" w:eastAsia="Times New Roman" w:hAnsi="Arial" w:cs="Arial"/>
          <w:b/>
          <w:sz w:val="24"/>
          <w:szCs w:val="24"/>
          <w:lang w:eastAsia="es-CL"/>
        </w:rPr>
      </w:pPr>
      <w:r w:rsidRPr="00E627C6">
        <w:rPr>
          <w:rFonts w:ascii="Arial" w:eastAsia="Times New Roman" w:hAnsi="Arial" w:cs="Arial"/>
          <w:b/>
          <w:sz w:val="24"/>
          <w:szCs w:val="24"/>
          <w:lang w:eastAsia="es-CL"/>
        </w:rPr>
        <w:t xml:space="preserve">MAGÍSTER EN DERECHO LLM </w:t>
      </w:r>
    </w:p>
    <w:p w14:paraId="494268BE" w14:textId="77777777" w:rsidR="004F1F25" w:rsidRPr="00E627C6" w:rsidRDefault="004F1F25" w:rsidP="004F1F25">
      <w:pPr>
        <w:spacing w:before="120" w:after="120" w:line="360" w:lineRule="auto"/>
        <w:jc w:val="center"/>
        <w:rPr>
          <w:rFonts w:ascii="Arial" w:eastAsia="Times New Roman" w:hAnsi="Arial" w:cs="Arial"/>
          <w:b/>
          <w:sz w:val="24"/>
          <w:szCs w:val="24"/>
          <w:lang w:eastAsia="es-CL"/>
        </w:rPr>
      </w:pPr>
      <w:r w:rsidRPr="00E627C6">
        <w:rPr>
          <w:rFonts w:ascii="Arial" w:eastAsia="Times New Roman" w:hAnsi="Arial" w:cs="Arial"/>
          <w:b/>
          <w:sz w:val="24"/>
          <w:szCs w:val="24"/>
          <w:lang w:eastAsia="es-CL"/>
        </w:rPr>
        <w:t>PONTIFICIA UNIVERSIDAD CATÓLICA DE CHILE</w:t>
      </w:r>
    </w:p>
    <w:p w14:paraId="13B91971" w14:textId="77777777" w:rsidR="004F1F25" w:rsidRPr="00E627C6" w:rsidRDefault="004F1F25" w:rsidP="004F1F25">
      <w:pPr>
        <w:spacing w:before="120" w:after="120" w:line="360" w:lineRule="auto"/>
        <w:jc w:val="center"/>
        <w:rPr>
          <w:rFonts w:ascii="Arial" w:eastAsia="Times New Roman" w:hAnsi="Arial" w:cs="Arial"/>
          <w:b/>
          <w:sz w:val="24"/>
          <w:szCs w:val="24"/>
          <w:lang w:eastAsia="es-CL"/>
        </w:rPr>
      </w:pPr>
      <w:r w:rsidRPr="00E627C6">
        <w:rPr>
          <w:rFonts w:ascii="Arial" w:eastAsia="Times New Roman" w:hAnsi="Arial" w:cs="Arial"/>
          <w:b/>
          <w:sz w:val="24"/>
          <w:szCs w:val="24"/>
          <w:lang w:eastAsia="es-CL"/>
        </w:rPr>
        <w:t>FACULTAD DE DERECHO</w:t>
      </w:r>
    </w:p>
    <w:p w14:paraId="3F11C46A" w14:textId="77777777" w:rsidR="004F1F25" w:rsidRPr="00E627C6" w:rsidRDefault="004F1F25" w:rsidP="004F1F25">
      <w:pPr>
        <w:spacing w:before="120" w:after="120" w:line="360" w:lineRule="auto"/>
        <w:jc w:val="center"/>
        <w:rPr>
          <w:rFonts w:ascii="Arial" w:eastAsia="Times New Roman" w:hAnsi="Arial" w:cs="Arial"/>
          <w:i/>
          <w:sz w:val="24"/>
          <w:szCs w:val="24"/>
          <w:lang w:eastAsia="es-CL"/>
        </w:rPr>
      </w:pPr>
    </w:p>
    <w:p w14:paraId="17447611" w14:textId="77777777" w:rsidR="004F1F25" w:rsidRPr="00E627C6" w:rsidRDefault="004F1F25" w:rsidP="004F1F25">
      <w:pPr>
        <w:pStyle w:val="NormalWeb"/>
        <w:spacing w:before="120" w:beforeAutospacing="0" w:after="120" w:afterAutospacing="0" w:line="360" w:lineRule="auto"/>
        <w:jc w:val="right"/>
        <w:rPr>
          <w:rFonts w:ascii="Arial" w:hAnsi="Arial" w:cs="Arial"/>
          <w:b/>
          <w:u w:val="single"/>
        </w:rPr>
      </w:pPr>
    </w:p>
    <w:p w14:paraId="38722C1D" w14:textId="77777777" w:rsidR="004F1F25" w:rsidRPr="00E627C6" w:rsidRDefault="004F1F25" w:rsidP="004F1F25">
      <w:pPr>
        <w:pStyle w:val="NormalWeb"/>
        <w:spacing w:before="120" w:beforeAutospacing="0" w:after="120" w:afterAutospacing="0" w:line="360" w:lineRule="auto"/>
        <w:jc w:val="right"/>
        <w:rPr>
          <w:rFonts w:ascii="Arial" w:hAnsi="Arial" w:cs="Arial"/>
          <w:b/>
          <w:u w:val="single"/>
        </w:rPr>
      </w:pPr>
    </w:p>
    <w:p w14:paraId="78AB3AA4" w14:textId="0800029B" w:rsidR="004F1F25" w:rsidRDefault="004F1F25" w:rsidP="004F1F25">
      <w:pPr>
        <w:pStyle w:val="NormalWeb"/>
        <w:spacing w:before="120" w:beforeAutospacing="0" w:after="120" w:afterAutospacing="0" w:line="360" w:lineRule="auto"/>
        <w:jc w:val="right"/>
        <w:rPr>
          <w:rFonts w:ascii="Arial" w:hAnsi="Arial" w:cs="Arial"/>
          <w:b/>
        </w:rPr>
      </w:pPr>
      <w:r w:rsidRPr="00E627C6">
        <w:rPr>
          <w:rFonts w:ascii="Arial" w:hAnsi="Arial" w:cs="Arial"/>
          <w:b/>
        </w:rPr>
        <w:t>Alumno</w:t>
      </w:r>
      <w:r>
        <w:rPr>
          <w:rFonts w:ascii="Arial" w:hAnsi="Arial" w:cs="Arial"/>
          <w:b/>
        </w:rPr>
        <w:t>s</w:t>
      </w:r>
      <w:r w:rsidRPr="00E627C6">
        <w:rPr>
          <w:rFonts w:ascii="Arial" w:hAnsi="Arial" w:cs="Arial"/>
          <w:b/>
        </w:rPr>
        <w:t xml:space="preserve">: </w:t>
      </w:r>
      <w:r>
        <w:rPr>
          <w:rFonts w:ascii="Arial" w:hAnsi="Arial" w:cs="Arial"/>
          <w:b/>
        </w:rPr>
        <w:t>Matías Avendaño Araneda</w:t>
      </w:r>
    </w:p>
    <w:p w14:paraId="0F132862" w14:textId="748A4CA5" w:rsidR="004F1F25" w:rsidRPr="00E627C6" w:rsidRDefault="004F1F25" w:rsidP="004F1F25">
      <w:pPr>
        <w:pStyle w:val="NormalWeb"/>
        <w:spacing w:before="120" w:beforeAutospacing="0" w:after="120" w:afterAutospacing="0" w:line="360" w:lineRule="auto"/>
        <w:jc w:val="right"/>
        <w:rPr>
          <w:rFonts w:ascii="Arial" w:hAnsi="Arial" w:cs="Arial"/>
          <w:b/>
        </w:rPr>
      </w:pPr>
      <w:r w:rsidRPr="00E627C6">
        <w:rPr>
          <w:rFonts w:ascii="Arial" w:hAnsi="Arial" w:cs="Arial"/>
          <w:b/>
        </w:rPr>
        <w:t>Pedro Santibáñez Salinas</w:t>
      </w:r>
    </w:p>
    <w:p w14:paraId="6D00F4E4" w14:textId="02FA61E2" w:rsidR="004F1F25" w:rsidRPr="00E627C6" w:rsidRDefault="004F1F25" w:rsidP="004F1F25">
      <w:pPr>
        <w:pStyle w:val="NormalWeb"/>
        <w:spacing w:before="120" w:beforeAutospacing="0" w:after="120" w:afterAutospacing="0" w:line="360" w:lineRule="auto"/>
        <w:jc w:val="right"/>
        <w:rPr>
          <w:rFonts w:ascii="Arial" w:hAnsi="Arial" w:cs="Arial"/>
          <w:b/>
        </w:rPr>
      </w:pPr>
      <w:r>
        <w:rPr>
          <w:rFonts w:ascii="Arial" w:hAnsi="Arial" w:cs="Arial"/>
          <w:b/>
        </w:rPr>
        <w:t>23</w:t>
      </w:r>
      <w:r w:rsidRPr="00E627C6">
        <w:rPr>
          <w:rFonts w:ascii="Arial" w:hAnsi="Arial" w:cs="Arial"/>
          <w:b/>
        </w:rPr>
        <w:t xml:space="preserve"> de septiembre de 2019</w:t>
      </w:r>
    </w:p>
    <w:p w14:paraId="24715660" w14:textId="27E6857B" w:rsidR="00EA7912" w:rsidRPr="00F467F6" w:rsidRDefault="004F1F25" w:rsidP="00EA7912">
      <w:pPr>
        <w:spacing w:line="276" w:lineRule="auto"/>
        <w:rPr>
          <w:rFonts w:ascii="Times New Roman" w:hAnsi="Times New Roman" w:cs="Times New Roman"/>
          <w:b/>
          <w:bCs/>
        </w:rPr>
      </w:pPr>
      <w:r w:rsidRPr="00F467F6">
        <w:rPr>
          <w:rFonts w:ascii="Times New Roman" w:hAnsi="Times New Roman" w:cs="Times New Roman"/>
          <w:b/>
          <w:bCs/>
        </w:rPr>
        <w:lastRenderedPageBreak/>
        <w:t>Caso</w:t>
      </w:r>
      <w:r w:rsidR="00EA7912" w:rsidRPr="00F467F6">
        <w:rPr>
          <w:rFonts w:ascii="Times New Roman" w:hAnsi="Times New Roman" w:cs="Times New Roman"/>
          <w:b/>
          <w:bCs/>
        </w:rPr>
        <w:t xml:space="preserve">: Rol N° </w:t>
      </w:r>
      <w:r w:rsidR="00045689" w:rsidRPr="00F467F6">
        <w:rPr>
          <w:rFonts w:ascii="Times New Roman" w:hAnsi="Times New Roman" w:cs="Times New Roman"/>
          <w:b/>
          <w:bCs/>
        </w:rPr>
        <w:t>34.594</w:t>
      </w:r>
      <w:r w:rsidR="00EA7912" w:rsidRPr="00F467F6">
        <w:rPr>
          <w:rFonts w:ascii="Times New Roman" w:hAnsi="Times New Roman" w:cs="Times New Roman"/>
          <w:b/>
          <w:bCs/>
        </w:rPr>
        <w:t>-2017 Excma. Corte Suprema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41"/>
        <w:gridCol w:w="6535"/>
      </w:tblGrid>
      <w:tr w:rsidR="00EA7912" w:rsidRPr="00F467F6" w14:paraId="008163C3" w14:textId="77777777" w:rsidTr="00B65A17">
        <w:tc>
          <w:tcPr>
            <w:tcW w:w="533" w:type="dxa"/>
            <w:tcBorders>
              <w:top w:val="single" w:sz="4" w:space="0" w:color="auto"/>
              <w:left w:val="single" w:sz="4" w:space="0" w:color="auto"/>
              <w:bottom w:val="single" w:sz="4" w:space="0" w:color="auto"/>
              <w:right w:val="single" w:sz="4" w:space="0" w:color="auto"/>
            </w:tcBorders>
            <w:hideMark/>
          </w:tcPr>
          <w:p w14:paraId="2B0B72C6"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1.</w:t>
            </w:r>
          </w:p>
        </w:tc>
        <w:tc>
          <w:tcPr>
            <w:tcW w:w="2141" w:type="dxa"/>
            <w:tcBorders>
              <w:top w:val="single" w:sz="4" w:space="0" w:color="auto"/>
              <w:left w:val="single" w:sz="4" w:space="0" w:color="auto"/>
              <w:bottom w:val="single" w:sz="4" w:space="0" w:color="auto"/>
              <w:right w:val="single" w:sz="4" w:space="0" w:color="auto"/>
            </w:tcBorders>
            <w:hideMark/>
          </w:tcPr>
          <w:p w14:paraId="713EDDDC"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Caso </w:t>
            </w:r>
          </w:p>
        </w:tc>
        <w:tc>
          <w:tcPr>
            <w:tcW w:w="6535" w:type="dxa"/>
            <w:tcBorders>
              <w:top w:val="single" w:sz="4" w:space="0" w:color="auto"/>
              <w:left w:val="single" w:sz="4" w:space="0" w:color="auto"/>
              <w:bottom w:val="single" w:sz="4" w:space="0" w:color="auto"/>
              <w:right w:val="single" w:sz="4" w:space="0" w:color="auto"/>
            </w:tcBorders>
            <w:hideMark/>
          </w:tcPr>
          <w:p w14:paraId="13D22926" w14:textId="2281AF2E" w:rsidR="00EA7912" w:rsidRPr="00F467F6" w:rsidRDefault="00EA7912" w:rsidP="00AF774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Caso </w:t>
            </w:r>
            <w:r w:rsidR="00045689" w:rsidRPr="00F467F6">
              <w:rPr>
                <w:rFonts w:ascii="Times New Roman" w:hAnsi="Times New Roman" w:cs="Times New Roman"/>
                <w:lang w:val="es-MX" w:eastAsia="es-MX"/>
              </w:rPr>
              <w:t>Pescadores Artesanales</w:t>
            </w:r>
            <w:r w:rsidR="00AF7747" w:rsidRPr="00F467F6">
              <w:rPr>
                <w:rFonts w:ascii="Times New Roman" w:hAnsi="Times New Roman" w:cs="Times New Roman"/>
                <w:lang w:val="es-MX" w:eastAsia="es-MX"/>
              </w:rPr>
              <w:t xml:space="preserve"> “Bahía Caulín”</w:t>
            </w:r>
            <w:r w:rsidR="00045689" w:rsidRPr="00F467F6">
              <w:rPr>
                <w:rFonts w:ascii="Times New Roman" w:hAnsi="Times New Roman" w:cs="Times New Roman"/>
                <w:lang w:val="es-MX" w:eastAsia="es-MX"/>
              </w:rPr>
              <w:t xml:space="preserve"> contra </w:t>
            </w:r>
            <w:r w:rsidR="00AF7747" w:rsidRPr="00F467F6">
              <w:rPr>
                <w:rFonts w:ascii="Times New Roman" w:hAnsi="Times New Roman" w:cs="Times New Roman"/>
                <w:lang w:val="es-MX" w:eastAsia="es-MX"/>
              </w:rPr>
              <w:t>SERNAPESCA y otros</w:t>
            </w:r>
            <w:r w:rsidR="00E97839">
              <w:rPr>
                <w:rFonts w:ascii="Times New Roman" w:hAnsi="Times New Roman" w:cs="Times New Roman"/>
                <w:lang w:val="es-MX" w:eastAsia="es-MX"/>
              </w:rPr>
              <w:t>. S</w:t>
            </w:r>
            <w:r w:rsidRPr="00F467F6">
              <w:rPr>
                <w:rFonts w:ascii="Times New Roman" w:hAnsi="Times New Roman" w:cs="Times New Roman"/>
                <w:lang w:val="es-MX" w:eastAsia="es-MX"/>
              </w:rPr>
              <w:t xml:space="preserve">entencia de la Excma. Corte Suprema </w:t>
            </w:r>
          </w:p>
        </w:tc>
      </w:tr>
      <w:tr w:rsidR="00EA7912" w:rsidRPr="00F467F6" w14:paraId="0B2080F8" w14:textId="77777777" w:rsidTr="00B65A17">
        <w:tc>
          <w:tcPr>
            <w:tcW w:w="533" w:type="dxa"/>
            <w:tcBorders>
              <w:top w:val="single" w:sz="4" w:space="0" w:color="auto"/>
              <w:left w:val="single" w:sz="4" w:space="0" w:color="auto"/>
              <w:bottom w:val="single" w:sz="4" w:space="0" w:color="auto"/>
              <w:right w:val="single" w:sz="4" w:space="0" w:color="auto"/>
            </w:tcBorders>
            <w:hideMark/>
          </w:tcPr>
          <w:p w14:paraId="7EDCD1DB"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2. </w:t>
            </w:r>
          </w:p>
        </w:tc>
        <w:tc>
          <w:tcPr>
            <w:tcW w:w="2141" w:type="dxa"/>
            <w:tcBorders>
              <w:top w:val="single" w:sz="4" w:space="0" w:color="auto"/>
              <w:left w:val="single" w:sz="4" w:space="0" w:color="auto"/>
              <w:bottom w:val="single" w:sz="4" w:space="0" w:color="auto"/>
              <w:right w:val="single" w:sz="4" w:space="0" w:color="auto"/>
            </w:tcBorders>
            <w:hideMark/>
          </w:tcPr>
          <w:p w14:paraId="786BAA3B"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Pregunta jurídica del caso</w:t>
            </w:r>
          </w:p>
        </w:tc>
        <w:tc>
          <w:tcPr>
            <w:tcW w:w="6535" w:type="dxa"/>
            <w:tcBorders>
              <w:top w:val="single" w:sz="4" w:space="0" w:color="auto"/>
              <w:left w:val="single" w:sz="4" w:space="0" w:color="auto"/>
              <w:bottom w:val="single" w:sz="4" w:space="0" w:color="auto"/>
              <w:right w:val="single" w:sz="4" w:space="0" w:color="auto"/>
            </w:tcBorders>
            <w:hideMark/>
          </w:tcPr>
          <w:p w14:paraId="12B43D3C" w14:textId="77777777" w:rsidR="00FA30E1"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¿Cómo deben ejercer sus potestades las agencias reguladoras con  competencia en una misma actividad regulada?</w:t>
            </w:r>
          </w:p>
          <w:p w14:paraId="279DD76D" w14:textId="77777777" w:rsidR="00FA30E1"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¿Qué valor tiene la autorización expedida por la Autoridad Administrativa para verter salmones muertos en el mar basada en antecedentes inexistentes?</w:t>
            </w:r>
          </w:p>
          <w:p w14:paraId="556E7F8F" w14:textId="54B0E3FD" w:rsidR="00EA7912"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¿Son imputables los errores de la Administración a quienes actúen de buena fe?</w:t>
            </w:r>
          </w:p>
        </w:tc>
      </w:tr>
      <w:tr w:rsidR="00EA7912" w:rsidRPr="00F467F6" w14:paraId="18FEA8B5" w14:textId="77777777" w:rsidTr="00B65A17">
        <w:trPr>
          <w:trHeight w:val="58"/>
        </w:trPr>
        <w:tc>
          <w:tcPr>
            <w:tcW w:w="533" w:type="dxa"/>
            <w:tcBorders>
              <w:top w:val="single" w:sz="4" w:space="0" w:color="auto"/>
              <w:left w:val="single" w:sz="4" w:space="0" w:color="auto"/>
              <w:bottom w:val="single" w:sz="4" w:space="0" w:color="auto"/>
              <w:right w:val="single" w:sz="4" w:space="0" w:color="auto"/>
            </w:tcBorders>
            <w:hideMark/>
          </w:tcPr>
          <w:p w14:paraId="790072C5"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3.</w:t>
            </w:r>
          </w:p>
        </w:tc>
        <w:tc>
          <w:tcPr>
            <w:tcW w:w="2141" w:type="dxa"/>
            <w:tcBorders>
              <w:top w:val="single" w:sz="4" w:space="0" w:color="auto"/>
              <w:left w:val="single" w:sz="4" w:space="0" w:color="auto"/>
              <w:bottom w:val="single" w:sz="4" w:space="0" w:color="auto"/>
              <w:right w:val="single" w:sz="4" w:space="0" w:color="auto"/>
            </w:tcBorders>
            <w:hideMark/>
          </w:tcPr>
          <w:p w14:paraId="213FF71D"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Materia</w:t>
            </w:r>
          </w:p>
        </w:tc>
        <w:tc>
          <w:tcPr>
            <w:tcW w:w="6535" w:type="dxa"/>
            <w:tcBorders>
              <w:top w:val="single" w:sz="4" w:space="0" w:color="auto"/>
              <w:left w:val="single" w:sz="4" w:space="0" w:color="auto"/>
              <w:bottom w:val="single" w:sz="4" w:space="0" w:color="auto"/>
              <w:right w:val="single" w:sz="4" w:space="0" w:color="auto"/>
            </w:tcBorders>
            <w:hideMark/>
          </w:tcPr>
          <w:p w14:paraId="2DF7DDA4" w14:textId="63693AFF" w:rsidR="00EA7912" w:rsidRPr="00F467F6" w:rsidRDefault="00E97839" w:rsidP="00B65A17">
            <w:pPr>
              <w:spacing w:after="0" w:line="240" w:lineRule="auto"/>
              <w:jc w:val="both"/>
              <w:rPr>
                <w:rFonts w:ascii="Times New Roman" w:hAnsi="Times New Roman" w:cs="Times New Roman"/>
                <w:lang w:val="es-MX" w:eastAsia="es-MX"/>
              </w:rPr>
            </w:pPr>
            <w:r>
              <w:rPr>
                <w:rFonts w:ascii="Times New Roman" w:hAnsi="Times New Roman" w:cs="Times New Roman"/>
                <w:lang w:val="es-MX" w:eastAsia="es-MX"/>
              </w:rPr>
              <w:t>Incumplimiento del deber de f</w:t>
            </w:r>
            <w:r w:rsidR="00FA30E1" w:rsidRPr="00F467F6">
              <w:rPr>
                <w:rFonts w:ascii="Times New Roman" w:hAnsi="Times New Roman" w:cs="Times New Roman"/>
                <w:lang w:val="es-MX" w:eastAsia="es-MX"/>
              </w:rPr>
              <w:t>iscalización</w:t>
            </w:r>
            <w:r>
              <w:rPr>
                <w:rFonts w:ascii="Times New Roman" w:hAnsi="Times New Roman" w:cs="Times New Roman"/>
                <w:lang w:val="es-MX" w:eastAsia="es-MX"/>
              </w:rPr>
              <w:t xml:space="preserve"> por parte de los órganos competentes.</w:t>
            </w:r>
          </w:p>
        </w:tc>
      </w:tr>
      <w:tr w:rsidR="00EA7912" w:rsidRPr="00F467F6" w14:paraId="51981445" w14:textId="77777777" w:rsidTr="00B65A17">
        <w:tc>
          <w:tcPr>
            <w:tcW w:w="533" w:type="dxa"/>
            <w:tcBorders>
              <w:top w:val="single" w:sz="4" w:space="0" w:color="auto"/>
              <w:left w:val="single" w:sz="4" w:space="0" w:color="auto"/>
              <w:bottom w:val="single" w:sz="4" w:space="0" w:color="auto"/>
              <w:right w:val="single" w:sz="4" w:space="0" w:color="auto"/>
            </w:tcBorders>
            <w:hideMark/>
          </w:tcPr>
          <w:p w14:paraId="7C9AF035"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4.</w:t>
            </w:r>
          </w:p>
        </w:tc>
        <w:tc>
          <w:tcPr>
            <w:tcW w:w="2141" w:type="dxa"/>
            <w:tcBorders>
              <w:top w:val="single" w:sz="4" w:space="0" w:color="auto"/>
              <w:left w:val="single" w:sz="4" w:space="0" w:color="auto"/>
              <w:bottom w:val="single" w:sz="4" w:space="0" w:color="auto"/>
              <w:right w:val="single" w:sz="4" w:space="0" w:color="auto"/>
            </w:tcBorders>
            <w:hideMark/>
          </w:tcPr>
          <w:p w14:paraId="5EFE13E5"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Rol:</w:t>
            </w:r>
          </w:p>
        </w:tc>
        <w:tc>
          <w:tcPr>
            <w:tcW w:w="6535" w:type="dxa"/>
            <w:tcBorders>
              <w:top w:val="single" w:sz="4" w:space="0" w:color="auto"/>
              <w:left w:val="single" w:sz="4" w:space="0" w:color="auto"/>
              <w:bottom w:val="single" w:sz="4" w:space="0" w:color="auto"/>
              <w:right w:val="single" w:sz="4" w:space="0" w:color="auto"/>
            </w:tcBorders>
            <w:hideMark/>
          </w:tcPr>
          <w:p w14:paraId="544E0EBC" w14:textId="79B34487" w:rsidR="00EA7912" w:rsidRPr="00F467F6" w:rsidRDefault="00FA30E1"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Rol N° 34.594-2017.</w:t>
            </w:r>
          </w:p>
        </w:tc>
      </w:tr>
      <w:tr w:rsidR="00EA7912" w:rsidRPr="00F467F6" w14:paraId="16BD0688" w14:textId="77777777" w:rsidTr="00B65A17">
        <w:tc>
          <w:tcPr>
            <w:tcW w:w="533" w:type="dxa"/>
            <w:tcBorders>
              <w:top w:val="single" w:sz="4" w:space="0" w:color="auto"/>
              <w:left w:val="single" w:sz="4" w:space="0" w:color="auto"/>
              <w:bottom w:val="single" w:sz="4" w:space="0" w:color="auto"/>
              <w:right w:val="single" w:sz="4" w:space="0" w:color="auto"/>
            </w:tcBorders>
            <w:hideMark/>
          </w:tcPr>
          <w:p w14:paraId="524E69F7"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5.</w:t>
            </w:r>
          </w:p>
        </w:tc>
        <w:tc>
          <w:tcPr>
            <w:tcW w:w="2141" w:type="dxa"/>
            <w:tcBorders>
              <w:top w:val="single" w:sz="4" w:space="0" w:color="auto"/>
              <w:left w:val="single" w:sz="4" w:space="0" w:color="auto"/>
              <w:bottom w:val="single" w:sz="4" w:space="0" w:color="auto"/>
              <w:right w:val="single" w:sz="4" w:space="0" w:color="auto"/>
            </w:tcBorders>
            <w:hideMark/>
          </w:tcPr>
          <w:p w14:paraId="25440CD6"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Recurrente:</w:t>
            </w:r>
          </w:p>
        </w:tc>
        <w:tc>
          <w:tcPr>
            <w:tcW w:w="6535" w:type="dxa"/>
            <w:tcBorders>
              <w:top w:val="single" w:sz="4" w:space="0" w:color="auto"/>
              <w:left w:val="single" w:sz="4" w:space="0" w:color="auto"/>
              <w:bottom w:val="single" w:sz="4" w:space="0" w:color="auto"/>
              <w:right w:val="single" w:sz="4" w:space="0" w:color="auto"/>
            </w:tcBorders>
            <w:hideMark/>
          </w:tcPr>
          <w:p w14:paraId="3EAD3AFE" w14:textId="68630C1D" w:rsidR="00EA7912" w:rsidRPr="00F467F6" w:rsidRDefault="00AF7747"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Julio Cárdenas, en representación del Sindicato de Trabajadores Independientes Pescadores Artesanales, Buzos Mariscadores, Ayudantes y ramos similares “Bahía” Cualín”</w:t>
            </w:r>
          </w:p>
        </w:tc>
      </w:tr>
      <w:tr w:rsidR="00EA7912" w:rsidRPr="00F467F6" w14:paraId="1D82BDAB" w14:textId="77777777" w:rsidTr="00B65A17">
        <w:tc>
          <w:tcPr>
            <w:tcW w:w="533" w:type="dxa"/>
            <w:tcBorders>
              <w:top w:val="single" w:sz="4" w:space="0" w:color="auto"/>
              <w:left w:val="single" w:sz="4" w:space="0" w:color="auto"/>
              <w:bottom w:val="single" w:sz="4" w:space="0" w:color="auto"/>
              <w:right w:val="single" w:sz="4" w:space="0" w:color="auto"/>
            </w:tcBorders>
            <w:hideMark/>
          </w:tcPr>
          <w:p w14:paraId="6CB0443A"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6.</w:t>
            </w:r>
          </w:p>
        </w:tc>
        <w:tc>
          <w:tcPr>
            <w:tcW w:w="2141" w:type="dxa"/>
            <w:tcBorders>
              <w:top w:val="single" w:sz="4" w:space="0" w:color="auto"/>
              <w:left w:val="single" w:sz="4" w:space="0" w:color="auto"/>
              <w:bottom w:val="single" w:sz="4" w:space="0" w:color="auto"/>
              <w:right w:val="single" w:sz="4" w:space="0" w:color="auto"/>
            </w:tcBorders>
            <w:hideMark/>
          </w:tcPr>
          <w:p w14:paraId="41366772"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Recurrido:</w:t>
            </w:r>
          </w:p>
        </w:tc>
        <w:tc>
          <w:tcPr>
            <w:tcW w:w="6535" w:type="dxa"/>
            <w:tcBorders>
              <w:top w:val="single" w:sz="4" w:space="0" w:color="auto"/>
              <w:left w:val="single" w:sz="4" w:space="0" w:color="auto"/>
              <w:bottom w:val="single" w:sz="4" w:space="0" w:color="auto"/>
              <w:right w:val="single" w:sz="4" w:space="0" w:color="auto"/>
            </w:tcBorders>
            <w:hideMark/>
          </w:tcPr>
          <w:p w14:paraId="5FBA77A0" w14:textId="31CECEDA" w:rsidR="00EA7912" w:rsidRPr="00F467F6" w:rsidRDefault="00C462EA"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Servicio Nacional de Pesca</w:t>
            </w:r>
            <w:r w:rsidR="004D1B54" w:rsidRPr="00F467F6">
              <w:rPr>
                <w:rFonts w:ascii="Times New Roman" w:hAnsi="Times New Roman" w:cs="Times New Roman"/>
                <w:lang w:val="es-MX" w:eastAsia="es-MX"/>
              </w:rPr>
              <w:t xml:space="preserve"> y Acuicultura</w:t>
            </w:r>
          </w:p>
          <w:p w14:paraId="2FAB3D69" w14:textId="77777777" w:rsidR="00C462EA" w:rsidRPr="00F467F6" w:rsidRDefault="00C462EA"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Seremi de Salud de Los Lagos</w:t>
            </w:r>
          </w:p>
          <w:p w14:paraId="4FBC757C" w14:textId="77777777" w:rsidR="00C462EA" w:rsidRPr="00F467F6" w:rsidRDefault="00C462EA"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Superintendencia del Medio Ambiente</w:t>
            </w:r>
          </w:p>
          <w:p w14:paraId="5F2B5C59" w14:textId="79E70914" w:rsidR="00426746" w:rsidRPr="00F467F6" w:rsidRDefault="00426746"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Ministerio del Medio Ambiente</w:t>
            </w:r>
          </w:p>
        </w:tc>
      </w:tr>
      <w:tr w:rsidR="00EA7912" w:rsidRPr="00F467F6" w14:paraId="13239090" w14:textId="77777777" w:rsidTr="00B65A17">
        <w:trPr>
          <w:trHeight w:val="400"/>
        </w:trPr>
        <w:tc>
          <w:tcPr>
            <w:tcW w:w="533" w:type="dxa"/>
            <w:tcBorders>
              <w:top w:val="single" w:sz="4" w:space="0" w:color="auto"/>
              <w:left w:val="single" w:sz="4" w:space="0" w:color="auto"/>
              <w:bottom w:val="single" w:sz="4" w:space="0" w:color="auto"/>
              <w:right w:val="single" w:sz="4" w:space="0" w:color="auto"/>
            </w:tcBorders>
            <w:hideMark/>
          </w:tcPr>
          <w:p w14:paraId="3BB2FBD9"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7.</w:t>
            </w:r>
          </w:p>
        </w:tc>
        <w:tc>
          <w:tcPr>
            <w:tcW w:w="2141" w:type="dxa"/>
            <w:tcBorders>
              <w:top w:val="single" w:sz="4" w:space="0" w:color="auto"/>
              <w:left w:val="single" w:sz="4" w:space="0" w:color="auto"/>
              <w:bottom w:val="single" w:sz="4" w:space="0" w:color="auto"/>
              <w:right w:val="single" w:sz="4" w:space="0" w:color="auto"/>
            </w:tcBorders>
            <w:hideMark/>
          </w:tcPr>
          <w:p w14:paraId="5C748C8C"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Integración:</w:t>
            </w:r>
          </w:p>
        </w:tc>
        <w:tc>
          <w:tcPr>
            <w:tcW w:w="6535" w:type="dxa"/>
            <w:tcBorders>
              <w:top w:val="single" w:sz="4" w:space="0" w:color="auto"/>
              <w:left w:val="single" w:sz="4" w:space="0" w:color="auto"/>
              <w:bottom w:val="single" w:sz="4" w:space="0" w:color="auto"/>
              <w:right w:val="single" w:sz="4" w:space="0" w:color="auto"/>
            </w:tcBorders>
            <w:hideMark/>
          </w:tcPr>
          <w:p w14:paraId="7E40B318" w14:textId="4874126C" w:rsidR="00EA7912" w:rsidRPr="00F467F6" w:rsidRDefault="00EA7912" w:rsidP="005E46C5">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Ministros Sr. Sergio Muñoz G., </w:t>
            </w:r>
            <w:r w:rsidR="005E46C5" w:rsidRPr="00F467F6">
              <w:rPr>
                <w:rFonts w:ascii="Times New Roman" w:hAnsi="Times New Roman" w:cs="Times New Roman"/>
                <w:lang w:val="es-MX" w:eastAsia="es-MX"/>
              </w:rPr>
              <w:t xml:space="preserve">Sr. Ricardo Blanco H. y Sr. Carlos Aránguiz Z., el Ministro Suplente Sr. Juan Manuel Muñoz p. y el Abogado Integrante Sr. Álvaro Quintanilla P. </w:t>
            </w:r>
          </w:p>
        </w:tc>
      </w:tr>
      <w:tr w:rsidR="00EA7912" w:rsidRPr="00F467F6" w14:paraId="610DFC21" w14:textId="77777777" w:rsidTr="00B65A17">
        <w:trPr>
          <w:trHeight w:val="356"/>
        </w:trPr>
        <w:tc>
          <w:tcPr>
            <w:tcW w:w="533" w:type="dxa"/>
            <w:tcBorders>
              <w:top w:val="single" w:sz="4" w:space="0" w:color="auto"/>
              <w:left w:val="single" w:sz="4" w:space="0" w:color="auto"/>
              <w:bottom w:val="single" w:sz="4" w:space="0" w:color="auto"/>
              <w:right w:val="single" w:sz="4" w:space="0" w:color="auto"/>
            </w:tcBorders>
            <w:hideMark/>
          </w:tcPr>
          <w:p w14:paraId="566DAD11"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8.</w:t>
            </w:r>
          </w:p>
        </w:tc>
        <w:tc>
          <w:tcPr>
            <w:tcW w:w="2141" w:type="dxa"/>
            <w:tcBorders>
              <w:top w:val="single" w:sz="4" w:space="0" w:color="auto"/>
              <w:left w:val="single" w:sz="4" w:space="0" w:color="auto"/>
              <w:bottom w:val="single" w:sz="4" w:space="0" w:color="auto"/>
              <w:right w:val="single" w:sz="4" w:space="0" w:color="auto"/>
            </w:tcBorders>
            <w:hideMark/>
          </w:tcPr>
          <w:p w14:paraId="48954D53"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Redacción:</w:t>
            </w:r>
          </w:p>
        </w:tc>
        <w:tc>
          <w:tcPr>
            <w:tcW w:w="6535" w:type="dxa"/>
            <w:tcBorders>
              <w:top w:val="single" w:sz="4" w:space="0" w:color="auto"/>
              <w:left w:val="single" w:sz="4" w:space="0" w:color="auto"/>
              <w:bottom w:val="single" w:sz="4" w:space="0" w:color="auto"/>
              <w:right w:val="single" w:sz="4" w:space="0" w:color="auto"/>
            </w:tcBorders>
            <w:hideMark/>
          </w:tcPr>
          <w:p w14:paraId="22C4556D" w14:textId="76C3F8D0" w:rsidR="00EA7912" w:rsidRPr="00F467F6" w:rsidRDefault="00EA7912" w:rsidP="00CC29A9">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Sr. </w:t>
            </w:r>
            <w:r w:rsidR="00CC29A9" w:rsidRPr="00F467F6">
              <w:rPr>
                <w:rFonts w:ascii="Times New Roman" w:hAnsi="Times New Roman" w:cs="Times New Roman"/>
                <w:lang w:val="es-MX" w:eastAsia="es-MX"/>
              </w:rPr>
              <w:t>Carlos Aránguiz.</w:t>
            </w:r>
            <w:r w:rsidRPr="00F467F6">
              <w:rPr>
                <w:rFonts w:ascii="Times New Roman" w:hAnsi="Times New Roman" w:cs="Times New Roman"/>
                <w:lang w:val="es-MX" w:eastAsia="es-MX"/>
              </w:rPr>
              <w:t xml:space="preserve"> </w:t>
            </w:r>
          </w:p>
        </w:tc>
      </w:tr>
      <w:tr w:rsidR="00EA7912" w:rsidRPr="00F467F6" w14:paraId="472E8CE1" w14:textId="77777777" w:rsidTr="00B65A17">
        <w:trPr>
          <w:trHeight w:val="356"/>
        </w:trPr>
        <w:tc>
          <w:tcPr>
            <w:tcW w:w="533" w:type="dxa"/>
            <w:tcBorders>
              <w:top w:val="single" w:sz="4" w:space="0" w:color="auto"/>
              <w:left w:val="single" w:sz="4" w:space="0" w:color="auto"/>
              <w:bottom w:val="single" w:sz="4" w:space="0" w:color="auto"/>
              <w:right w:val="single" w:sz="4" w:space="0" w:color="auto"/>
            </w:tcBorders>
            <w:hideMark/>
          </w:tcPr>
          <w:p w14:paraId="708E6D67"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9.</w:t>
            </w:r>
          </w:p>
        </w:tc>
        <w:tc>
          <w:tcPr>
            <w:tcW w:w="2141" w:type="dxa"/>
            <w:tcBorders>
              <w:top w:val="single" w:sz="4" w:space="0" w:color="auto"/>
              <w:left w:val="single" w:sz="4" w:space="0" w:color="auto"/>
              <w:bottom w:val="single" w:sz="4" w:space="0" w:color="auto"/>
              <w:right w:val="single" w:sz="4" w:space="0" w:color="auto"/>
            </w:tcBorders>
            <w:hideMark/>
          </w:tcPr>
          <w:p w14:paraId="23080C72"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Votación:</w:t>
            </w:r>
          </w:p>
        </w:tc>
        <w:tc>
          <w:tcPr>
            <w:tcW w:w="6535" w:type="dxa"/>
            <w:tcBorders>
              <w:top w:val="single" w:sz="4" w:space="0" w:color="auto"/>
              <w:left w:val="single" w:sz="4" w:space="0" w:color="auto"/>
              <w:bottom w:val="single" w:sz="4" w:space="0" w:color="auto"/>
              <w:right w:val="single" w:sz="4" w:space="0" w:color="auto"/>
            </w:tcBorders>
            <w:hideMark/>
          </w:tcPr>
          <w:p w14:paraId="06D226FE" w14:textId="1D0BFFFF" w:rsidR="00EA7912" w:rsidRPr="00F467F6" w:rsidRDefault="00C81C58" w:rsidP="00B65A17">
            <w:pPr>
              <w:spacing w:after="0" w:line="240" w:lineRule="auto"/>
              <w:jc w:val="both"/>
              <w:rPr>
                <w:rFonts w:ascii="Times New Roman" w:hAnsi="Times New Roman" w:cs="Times New Roman"/>
                <w:lang w:val="es-MX" w:eastAsia="es-MX"/>
              </w:rPr>
            </w:pPr>
            <w:r>
              <w:rPr>
                <w:rFonts w:ascii="Times New Roman" w:hAnsi="Times New Roman" w:cs="Times New Roman"/>
                <w:lang w:val="es-MX" w:eastAsia="es-MX"/>
              </w:rPr>
              <w:t>Fallo unánime</w:t>
            </w:r>
            <w:r w:rsidR="00EA7912" w:rsidRPr="00F467F6">
              <w:rPr>
                <w:rFonts w:ascii="Times New Roman" w:hAnsi="Times New Roman" w:cs="Times New Roman"/>
                <w:lang w:val="es-MX" w:eastAsia="es-MX"/>
              </w:rPr>
              <w:t xml:space="preserve"> </w:t>
            </w:r>
          </w:p>
        </w:tc>
      </w:tr>
      <w:tr w:rsidR="00EA7912" w:rsidRPr="00F467F6" w14:paraId="1B758EAF" w14:textId="77777777" w:rsidTr="00B65A17">
        <w:trPr>
          <w:trHeight w:val="70"/>
        </w:trPr>
        <w:tc>
          <w:tcPr>
            <w:tcW w:w="533" w:type="dxa"/>
            <w:tcBorders>
              <w:top w:val="single" w:sz="4" w:space="0" w:color="auto"/>
              <w:left w:val="single" w:sz="4" w:space="0" w:color="auto"/>
              <w:bottom w:val="single" w:sz="4" w:space="0" w:color="auto"/>
              <w:right w:val="single" w:sz="4" w:space="0" w:color="auto"/>
            </w:tcBorders>
            <w:hideMark/>
          </w:tcPr>
          <w:p w14:paraId="5FDF6CD4"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10. </w:t>
            </w:r>
          </w:p>
        </w:tc>
        <w:tc>
          <w:tcPr>
            <w:tcW w:w="2141" w:type="dxa"/>
            <w:tcBorders>
              <w:top w:val="single" w:sz="4" w:space="0" w:color="auto"/>
              <w:left w:val="single" w:sz="4" w:space="0" w:color="auto"/>
              <w:bottom w:val="single" w:sz="4" w:space="0" w:color="auto"/>
              <w:right w:val="single" w:sz="4" w:space="0" w:color="auto"/>
            </w:tcBorders>
            <w:hideMark/>
          </w:tcPr>
          <w:p w14:paraId="195ED9BC"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Considerandos relevantes:</w:t>
            </w:r>
          </w:p>
        </w:tc>
        <w:tc>
          <w:tcPr>
            <w:tcW w:w="6535" w:type="dxa"/>
            <w:tcBorders>
              <w:top w:val="single" w:sz="4" w:space="0" w:color="auto"/>
              <w:left w:val="single" w:sz="4" w:space="0" w:color="auto"/>
              <w:bottom w:val="single" w:sz="4" w:space="0" w:color="auto"/>
              <w:right w:val="single" w:sz="4" w:space="0" w:color="auto"/>
            </w:tcBorders>
            <w:hideMark/>
          </w:tcPr>
          <w:p w14:paraId="66D3B72B" w14:textId="23C1E87E" w:rsidR="00EA7912" w:rsidRPr="00F467F6" w:rsidRDefault="00EB6709"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5°, </w:t>
            </w:r>
            <w:r w:rsidR="00FA30E1" w:rsidRPr="00F467F6">
              <w:rPr>
                <w:rFonts w:ascii="Times New Roman" w:hAnsi="Times New Roman" w:cs="Times New Roman"/>
                <w:lang w:val="es-MX" w:eastAsia="es-MX"/>
              </w:rPr>
              <w:t>7°, 8°</w:t>
            </w:r>
            <w:r w:rsidR="00271567" w:rsidRPr="00F467F6">
              <w:rPr>
                <w:rFonts w:ascii="Times New Roman" w:hAnsi="Times New Roman" w:cs="Times New Roman"/>
                <w:lang w:val="es-MX" w:eastAsia="es-MX"/>
              </w:rPr>
              <w:t>, 10°,</w:t>
            </w:r>
            <w:r w:rsidR="00D107DE" w:rsidRPr="00F467F6">
              <w:rPr>
                <w:rFonts w:ascii="Times New Roman" w:hAnsi="Times New Roman" w:cs="Times New Roman"/>
                <w:lang w:val="es-MX" w:eastAsia="es-MX"/>
              </w:rPr>
              <w:t xml:space="preserve"> 11°, 12°</w:t>
            </w:r>
            <w:r w:rsidR="003D152B" w:rsidRPr="00F467F6">
              <w:rPr>
                <w:rFonts w:ascii="Times New Roman" w:hAnsi="Times New Roman" w:cs="Times New Roman"/>
                <w:lang w:val="es-MX" w:eastAsia="es-MX"/>
              </w:rPr>
              <w:t xml:space="preserve"> y 13°</w:t>
            </w:r>
          </w:p>
          <w:p w14:paraId="650AE6D6" w14:textId="623B6ED1" w:rsidR="00EA7912" w:rsidRPr="00F467F6" w:rsidRDefault="00EA7912" w:rsidP="00B65A17">
            <w:pPr>
              <w:spacing w:after="0" w:line="240" w:lineRule="auto"/>
              <w:jc w:val="both"/>
              <w:rPr>
                <w:rFonts w:ascii="Times New Roman" w:hAnsi="Times New Roman" w:cs="Times New Roman"/>
                <w:lang w:val="es-MX" w:eastAsia="es-MX"/>
              </w:rPr>
            </w:pPr>
            <w:r w:rsidRPr="00F467F6">
              <w:rPr>
                <w:rFonts w:ascii="Times New Roman" w:hAnsi="Times New Roman" w:cs="Times New Roman"/>
                <w:b/>
                <w:lang w:val="es-MX" w:eastAsia="es-MX"/>
              </w:rPr>
              <w:t>Hechos:</w:t>
            </w:r>
            <w:r w:rsidRPr="00F467F6">
              <w:rPr>
                <w:rFonts w:ascii="Times New Roman" w:hAnsi="Times New Roman" w:cs="Times New Roman"/>
                <w:lang w:val="es-MX" w:eastAsia="es-MX"/>
              </w:rPr>
              <w:t xml:space="preserve"> </w:t>
            </w:r>
            <w:r w:rsidR="004D1B54" w:rsidRPr="00F467F6">
              <w:rPr>
                <w:rFonts w:ascii="Times New Roman" w:hAnsi="Times New Roman" w:cs="Times New Roman"/>
                <w:lang w:val="es-MX" w:eastAsia="es-MX"/>
              </w:rPr>
              <w:t xml:space="preserve">La Dirección General del Territorio Marítimo y de Marina Mercante autorizó el vertimiento al mar de 9.000 toneladas de salmones muertos y en descomposición, la que se realizaría a 75 millas náuticas al oeste de Punta Corona, decisión que se adoptó en virtud </w:t>
            </w:r>
            <w:r w:rsidR="009010DC" w:rsidRPr="00F467F6">
              <w:rPr>
                <w:rFonts w:ascii="Times New Roman" w:hAnsi="Times New Roman" w:cs="Times New Roman"/>
                <w:lang w:val="es-MX" w:eastAsia="es-MX"/>
              </w:rPr>
              <w:t xml:space="preserve">de un Informe Técnico –sobre solicitud de vertimiento al Mar Salmonchile AG- emitido por Sernapesca, en donde se indicó, en síntesis, que el desecho de pescado que se pretende verter es orgánico y sus propiedades químicas, físicas y biológicas no afectan al ecosistema acuático, la vida humana en el mar, vías de navegación, ni a las actividades de otros usuarios marítimos. </w:t>
            </w:r>
          </w:p>
          <w:p w14:paraId="64398A22" w14:textId="77777777" w:rsidR="004D1B54" w:rsidRPr="00F467F6" w:rsidRDefault="004D1B54" w:rsidP="00B65A17">
            <w:pPr>
              <w:spacing w:after="0" w:line="240" w:lineRule="auto"/>
              <w:jc w:val="both"/>
              <w:rPr>
                <w:rFonts w:ascii="Times New Roman" w:hAnsi="Times New Roman" w:cs="Times New Roman"/>
                <w:lang w:val="es-MX" w:eastAsia="es-MX"/>
              </w:rPr>
            </w:pPr>
          </w:p>
          <w:p w14:paraId="0DE9B10A" w14:textId="16D21CDF" w:rsidR="00921905" w:rsidRPr="00F467F6" w:rsidRDefault="00921905"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Era un hecho público y notorio que había bins con biomasa de salmones muertos tratadas con sustancias químicas.</w:t>
            </w:r>
          </w:p>
          <w:p w14:paraId="3E0A54AD" w14:textId="3F05DA4B" w:rsidR="00921905" w:rsidRPr="00F467F6" w:rsidRDefault="00921905" w:rsidP="00B65A17">
            <w:pPr>
              <w:spacing w:after="0" w:line="240" w:lineRule="auto"/>
              <w:jc w:val="both"/>
              <w:rPr>
                <w:rFonts w:ascii="Times New Roman" w:hAnsi="Times New Roman" w:cs="Times New Roman"/>
                <w:bCs/>
                <w:lang w:val="es-MX" w:eastAsia="es-MX"/>
              </w:rPr>
            </w:pPr>
            <w:r w:rsidRPr="00F467F6">
              <w:rPr>
                <w:rFonts w:ascii="Times New Roman" w:hAnsi="Times New Roman" w:cs="Times New Roman"/>
                <w:b/>
                <w:lang w:val="es-MX" w:eastAsia="es-MX"/>
              </w:rPr>
              <w:t xml:space="preserve">Décimo: </w:t>
            </w:r>
            <w:r w:rsidRPr="00F467F6">
              <w:rPr>
                <w:rFonts w:ascii="Times New Roman" w:hAnsi="Times New Roman" w:cs="Times New Roman"/>
                <w:bCs/>
                <w:lang w:val="es-MX" w:eastAsia="es-MX"/>
              </w:rPr>
              <w:t>Que</w:t>
            </w:r>
            <w:r w:rsidRPr="00F467F6">
              <w:rPr>
                <w:rFonts w:ascii="Times New Roman" w:hAnsi="Times New Roman" w:cs="Times New Roman"/>
                <w:bCs/>
              </w:rPr>
              <w:t xml:space="preserve"> era un hecho público y notorio, acreditado con las múltiples publicaciones de prensa escrita y digital acompañadas a la causa, que algunos contenedores o “bins” fueron rechazados por las plantas de harina de pescado cuando se superó su capacidad de procesamiento por lo que fueron devueltos a las empresas, de modo que resulta inconcuso que había biomasa tratada con sustancias químicas cuyo destino se desconoce y que bien pudo formar parte de aquella porción de la mortalidad que no se destinó a ser</w:t>
            </w:r>
            <w:r w:rsidR="00271567" w:rsidRPr="00F467F6">
              <w:rPr>
                <w:rFonts w:ascii="Times New Roman" w:hAnsi="Times New Roman" w:cs="Times New Roman"/>
                <w:bCs/>
              </w:rPr>
              <w:t xml:space="preserve"> desechada en un vertedero.</w:t>
            </w:r>
          </w:p>
          <w:p w14:paraId="0F1C9687" w14:textId="77777777" w:rsidR="00921905" w:rsidRPr="00F467F6" w:rsidRDefault="00921905" w:rsidP="00B65A17">
            <w:pPr>
              <w:spacing w:after="0" w:line="240" w:lineRule="auto"/>
              <w:jc w:val="both"/>
              <w:rPr>
                <w:rFonts w:ascii="Times New Roman" w:hAnsi="Times New Roman" w:cs="Times New Roman"/>
                <w:b/>
                <w:lang w:val="es-MX" w:eastAsia="es-MX"/>
              </w:rPr>
            </w:pPr>
          </w:p>
          <w:p w14:paraId="6E4679F4" w14:textId="770789D2" w:rsidR="00EA7912" w:rsidRPr="00F467F6" w:rsidRDefault="00FA30E1"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Las instituciones involucradas omitieron desplegar alguna actividad que </w:t>
            </w:r>
            <w:r w:rsidR="00D107DE" w:rsidRPr="00F467F6">
              <w:rPr>
                <w:rFonts w:ascii="Times New Roman" w:hAnsi="Times New Roman" w:cs="Times New Roman"/>
                <w:b/>
                <w:lang w:val="es-MX" w:eastAsia="es-MX"/>
              </w:rPr>
              <w:t>impidiera o aminorara los efectos sobre el ecosistema acuático</w:t>
            </w:r>
            <w:r w:rsidR="00F97AF3" w:rsidRPr="00F467F6">
              <w:rPr>
                <w:rFonts w:ascii="Times New Roman" w:hAnsi="Times New Roman" w:cs="Times New Roman"/>
                <w:b/>
                <w:lang w:val="es-MX" w:eastAsia="es-MX"/>
              </w:rPr>
              <w:t>,</w:t>
            </w:r>
            <w:r w:rsidR="008570B3" w:rsidRPr="00F467F6">
              <w:rPr>
                <w:rFonts w:ascii="Times New Roman" w:hAnsi="Times New Roman" w:cs="Times New Roman"/>
                <w:b/>
                <w:lang w:val="es-MX" w:eastAsia="es-MX"/>
              </w:rPr>
              <w:t xml:space="preserve"> no obstante</w:t>
            </w:r>
            <w:r w:rsidR="00EB6709" w:rsidRPr="00F467F6">
              <w:rPr>
                <w:rFonts w:ascii="Times New Roman" w:hAnsi="Times New Roman" w:cs="Times New Roman"/>
                <w:b/>
                <w:lang w:val="es-MX" w:eastAsia="es-MX"/>
              </w:rPr>
              <w:t>,</w:t>
            </w:r>
            <w:r w:rsidR="008570B3" w:rsidRPr="00F467F6">
              <w:rPr>
                <w:rFonts w:ascii="Times New Roman" w:hAnsi="Times New Roman" w:cs="Times New Roman"/>
                <w:b/>
                <w:lang w:val="es-MX" w:eastAsia="es-MX"/>
              </w:rPr>
              <w:t xml:space="preserve"> </w:t>
            </w:r>
            <w:r w:rsidR="00EB6709" w:rsidRPr="00F467F6">
              <w:rPr>
                <w:rFonts w:ascii="Times New Roman" w:hAnsi="Times New Roman" w:cs="Times New Roman"/>
                <w:b/>
                <w:lang w:val="es-MX" w:eastAsia="es-MX"/>
              </w:rPr>
              <w:t>el</w:t>
            </w:r>
            <w:r w:rsidR="008570B3" w:rsidRPr="00F467F6">
              <w:rPr>
                <w:rFonts w:ascii="Times New Roman" w:hAnsi="Times New Roman" w:cs="Times New Roman"/>
                <w:b/>
                <w:lang w:val="es-MX" w:eastAsia="es-MX"/>
              </w:rPr>
              <w:t xml:space="preserve"> estado de alerta que existía en la zona,</w:t>
            </w:r>
            <w:r w:rsidR="00F97AF3" w:rsidRPr="00F467F6">
              <w:rPr>
                <w:rFonts w:ascii="Times New Roman" w:hAnsi="Times New Roman" w:cs="Times New Roman"/>
                <w:b/>
                <w:lang w:val="es-MX" w:eastAsia="es-MX"/>
              </w:rPr>
              <w:t xml:space="preserve"> incumpliendo así </w:t>
            </w:r>
            <w:r w:rsidR="008570B3" w:rsidRPr="00F467F6">
              <w:rPr>
                <w:rFonts w:ascii="Times New Roman" w:hAnsi="Times New Roman" w:cs="Times New Roman"/>
                <w:b/>
                <w:lang w:val="es-MX" w:eastAsia="es-MX"/>
              </w:rPr>
              <w:t>su</w:t>
            </w:r>
            <w:r w:rsidR="00EB6709" w:rsidRPr="00F467F6">
              <w:rPr>
                <w:rFonts w:ascii="Times New Roman" w:hAnsi="Times New Roman" w:cs="Times New Roman"/>
                <w:b/>
                <w:lang w:val="es-MX" w:eastAsia="es-MX"/>
              </w:rPr>
              <w:t>s</w:t>
            </w:r>
            <w:r w:rsidR="003D152B" w:rsidRPr="00F467F6">
              <w:rPr>
                <w:rFonts w:ascii="Times New Roman" w:hAnsi="Times New Roman" w:cs="Times New Roman"/>
                <w:b/>
                <w:lang w:val="es-MX" w:eastAsia="es-MX"/>
              </w:rPr>
              <w:t xml:space="preserve"> deberes</w:t>
            </w:r>
            <w:r w:rsidR="008570B3" w:rsidRPr="00F467F6">
              <w:rPr>
                <w:rFonts w:ascii="Times New Roman" w:hAnsi="Times New Roman" w:cs="Times New Roman"/>
                <w:b/>
                <w:lang w:val="es-MX" w:eastAsia="es-MX"/>
              </w:rPr>
              <w:t xml:space="preserve"> legales.</w:t>
            </w:r>
          </w:p>
          <w:p w14:paraId="1ED2748A" w14:textId="5A702C22" w:rsidR="00921905" w:rsidRPr="00F467F6" w:rsidRDefault="00271567" w:rsidP="00D107DE">
            <w:pPr>
              <w:spacing w:after="0" w:line="240" w:lineRule="auto"/>
              <w:jc w:val="both"/>
              <w:rPr>
                <w:rFonts w:ascii="Times New Roman" w:hAnsi="Times New Roman" w:cs="Times New Roman"/>
                <w:lang w:val="es-MX" w:eastAsia="es-MX"/>
              </w:rPr>
            </w:pPr>
            <w:r w:rsidRPr="00F467F6">
              <w:rPr>
                <w:rFonts w:ascii="Times New Roman" w:hAnsi="Times New Roman" w:cs="Times New Roman"/>
                <w:b/>
                <w:bCs/>
                <w:lang w:val="es-MX" w:eastAsia="es-MX"/>
              </w:rPr>
              <w:t xml:space="preserve">Quinto: </w:t>
            </w:r>
            <w:r w:rsidR="00EB6709" w:rsidRPr="00F467F6">
              <w:rPr>
                <w:rFonts w:ascii="Times New Roman" w:hAnsi="Times New Roman" w:cs="Times New Roman"/>
                <w:lang w:val="es-MX" w:eastAsia="es-MX"/>
              </w:rPr>
              <w:t>Se concluye, que no</w:t>
            </w:r>
            <w:r w:rsidRPr="00F467F6">
              <w:rPr>
                <w:rFonts w:ascii="Times New Roman" w:hAnsi="Times New Roman" w:cs="Times New Roman"/>
              </w:rPr>
              <w:t xml:space="preserve"> obstante</w:t>
            </w:r>
            <w:r w:rsidR="00EB6709" w:rsidRPr="00F467F6">
              <w:rPr>
                <w:rFonts w:ascii="Times New Roman" w:hAnsi="Times New Roman" w:cs="Times New Roman"/>
              </w:rPr>
              <w:t xml:space="preserve"> Sernapesca </w:t>
            </w:r>
            <w:r w:rsidRPr="00F467F6">
              <w:rPr>
                <w:rFonts w:ascii="Times New Roman" w:hAnsi="Times New Roman" w:cs="Times New Roman"/>
              </w:rPr>
              <w:t>tenía conocimiento del riesgo que implicaba la condición climática descrita en los informes, nada se hizo para procurar reducir su impacto en la tasa de mortalidad de los salmónidos adoptando alguna medida preventiva, limitándose la mencionada repartición a disponer lo necesario para afrontar la emergencia sanitaria una vez producida y para el solo efecto de dar destino final a los peces muertos.</w:t>
            </w:r>
          </w:p>
          <w:p w14:paraId="776BDDB1" w14:textId="773F3D57" w:rsidR="00271567" w:rsidRPr="00F467F6" w:rsidRDefault="00EB6709" w:rsidP="00D107DE">
            <w:pPr>
              <w:spacing w:after="0" w:line="240" w:lineRule="auto"/>
              <w:jc w:val="both"/>
              <w:rPr>
                <w:rFonts w:ascii="Times New Roman" w:hAnsi="Times New Roman" w:cs="Times New Roman"/>
              </w:rPr>
            </w:pPr>
            <w:r w:rsidRPr="00F467F6">
              <w:rPr>
                <w:rFonts w:ascii="Times New Roman" w:hAnsi="Times New Roman" w:cs="Times New Roman"/>
                <w:b/>
                <w:bCs/>
                <w:lang w:val="es-MX" w:eastAsia="es-MX"/>
              </w:rPr>
              <w:t xml:space="preserve">Sexto: </w:t>
            </w:r>
            <w:r w:rsidRPr="00F467F6">
              <w:rPr>
                <w:rFonts w:ascii="Times New Roman" w:hAnsi="Times New Roman" w:cs="Times New Roman"/>
                <w:lang w:val="es-MX" w:eastAsia="es-MX"/>
              </w:rPr>
              <w:t>Sernapesca</w:t>
            </w:r>
            <w:r w:rsidRPr="00F467F6">
              <w:rPr>
                <w:rFonts w:ascii="Times New Roman" w:hAnsi="Times New Roman" w:cs="Times New Roman"/>
              </w:rPr>
              <w:t xml:space="preserve"> no podía ignorar, en atención a lo que ella misma expresa en sus actos administrativos, que resultaba indispensable realizar una fiscalización efectiva en las unidades productivas en riesgo para haber podido adoptar medidas preventivas, correctivas o de mitigación de manera oportuna.</w:t>
            </w:r>
          </w:p>
          <w:p w14:paraId="50211CC7" w14:textId="15CE54E2" w:rsidR="003D152B" w:rsidRPr="00F467F6" w:rsidRDefault="003D152B" w:rsidP="00D107DE">
            <w:pPr>
              <w:spacing w:after="0" w:line="240" w:lineRule="auto"/>
              <w:jc w:val="both"/>
              <w:rPr>
                <w:rFonts w:ascii="Times New Roman" w:hAnsi="Times New Roman" w:cs="Times New Roman"/>
                <w:lang w:val="es-MX" w:eastAsia="es-MX"/>
              </w:rPr>
            </w:pPr>
            <w:r w:rsidRPr="00F467F6">
              <w:rPr>
                <w:rFonts w:ascii="Times New Roman" w:hAnsi="Times New Roman" w:cs="Times New Roman"/>
                <w:b/>
                <w:bCs/>
                <w:lang w:val="es-MX" w:eastAsia="es-MX"/>
              </w:rPr>
              <w:t xml:space="preserve">Sexto: </w:t>
            </w:r>
            <w:r w:rsidRPr="00F467F6">
              <w:rPr>
                <w:rFonts w:ascii="Times New Roman" w:hAnsi="Times New Roman" w:cs="Times New Roman"/>
                <w:lang w:val="es-MX" w:eastAsia="es-MX"/>
              </w:rPr>
              <w:t xml:space="preserve">La Superintendencia del Medio Ambiente (SMA) tiene facultades de vigilancia propias sobre actividades que estén sometidas a una Resolución de Calificación Ambiental, lo que la habilita incluso a iniciar de oficio sumarios ambientales en el ejercicio de sus potestades sancionatorias, las que no habría desplegado oportunamente. </w:t>
            </w:r>
          </w:p>
          <w:p w14:paraId="338E33F9" w14:textId="4C6F0933" w:rsidR="00D107DE" w:rsidRPr="00F467F6" w:rsidRDefault="00D107DE" w:rsidP="00D107DE">
            <w:pPr>
              <w:spacing w:after="0" w:line="240" w:lineRule="auto"/>
              <w:jc w:val="both"/>
              <w:rPr>
                <w:rFonts w:ascii="Times New Roman" w:hAnsi="Times New Roman" w:cs="Times New Roman"/>
                <w:lang w:val="es-MX" w:eastAsia="es-MX"/>
              </w:rPr>
            </w:pPr>
            <w:r w:rsidRPr="00F467F6">
              <w:rPr>
                <w:rFonts w:ascii="Times New Roman" w:hAnsi="Times New Roman" w:cs="Times New Roman"/>
                <w:b/>
                <w:bCs/>
                <w:lang w:val="es-MX" w:eastAsia="es-MX"/>
              </w:rPr>
              <w:t>Duodécimo: “</w:t>
            </w:r>
            <w:r w:rsidRPr="00F467F6">
              <w:rPr>
                <w:rFonts w:ascii="Times New Roman" w:hAnsi="Times New Roman" w:cs="Times New Roman"/>
                <w:lang w:val="es-MX" w:eastAsia="es-MX"/>
              </w:rPr>
              <w:t>Otro tanto puede decirse del proceder del Ministerio del Medioambiente, también recurrido, que alegó carecer de competencias para intervenir, siendo del caso apuntar que sobre esta autoridad pesa el deber impuesto por el artículo 70 de la Ley N°19.300 sobre Bases del Medioambiente, de velar por el cumplimiento de las convenciones internacionales en que Chile sea parte en materia ambiental, como ocurre en la especie, de manera que no puede excusarse de carecer de facultades para entender preventivamente en esta clase de situaciones, puesto que tiene una obligación legal de hacerlo.”</w:t>
            </w:r>
          </w:p>
          <w:p w14:paraId="39781564" w14:textId="7D596A36" w:rsidR="00EA7912" w:rsidRPr="00F467F6" w:rsidRDefault="003D152B" w:rsidP="003D152B">
            <w:pPr>
              <w:spacing w:after="0" w:line="240" w:lineRule="auto"/>
              <w:jc w:val="both"/>
              <w:rPr>
                <w:rFonts w:ascii="Times New Roman" w:hAnsi="Times New Roman" w:cs="Times New Roman"/>
                <w:lang w:val="es-MX" w:eastAsia="es-MX"/>
              </w:rPr>
            </w:pPr>
            <w:r w:rsidRPr="00F467F6">
              <w:rPr>
                <w:rFonts w:ascii="Times New Roman" w:hAnsi="Times New Roman" w:cs="Times New Roman"/>
                <w:b/>
                <w:bCs/>
                <w:lang w:val="es-MX" w:eastAsia="es-MX"/>
              </w:rPr>
              <w:t>Décimo Tercero</w:t>
            </w:r>
            <w:r w:rsidRPr="00F467F6">
              <w:rPr>
                <w:rFonts w:ascii="Times New Roman" w:hAnsi="Times New Roman" w:cs="Times New Roman"/>
                <w:lang w:val="es-MX" w:eastAsia="es-MX"/>
              </w:rPr>
              <w:t xml:space="preserve">: Que, al autorizarse el vertimiento por Directemar se incumplió lo dispuesto en el artículo V del Decreto N°476/1977, Ministerio de Relaciones Exteriores, que promulga el Convenio sobre Prevención de la Contaminación del Mar por Vertimiento de Desechos y otras materias, y su Protocolo, ya que la autoridad marítima no se cercioró previamente de la concurrencia de los requisitos exigidos por dicha normativa, infringiendo con ello el principio de precaución que ha de regir toda decisión que arriesgue una afectación de la vida y la salud de las personas y de los animales, o del medioambiente, misma infracción en la que incurrió Sernapesca al emitir el Informe favorable al vertimiento de que se trata. </w:t>
            </w:r>
          </w:p>
          <w:p w14:paraId="128F27D2" w14:textId="77777777" w:rsidR="00D107DE" w:rsidRPr="00F467F6" w:rsidRDefault="00D107DE" w:rsidP="00D107DE">
            <w:pPr>
              <w:spacing w:after="0" w:line="240" w:lineRule="auto"/>
              <w:rPr>
                <w:rFonts w:ascii="Times New Roman" w:hAnsi="Times New Roman" w:cs="Times New Roman"/>
                <w:b/>
                <w:bCs/>
                <w:lang w:val="es-MX" w:eastAsia="es-MX"/>
              </w:rPr>
            </w:pPr>
          </w:p>
          <w:p w14:paraId="07532315" w14:textId="2DC782E5" w:rsidR="00EA7912" w:rsidRPr="00F467F6" w:rsidRDefault="00EA7912" w:rsidP="00B65A17">
            <w:pPr>
              <w:spacing w:after="0" w:line="240" w:lineRule="auto"/>
              <w:jc w:val="both"/>
              <w:rPr>
                <w:rFonts w:ascii="Times New Roman" w:hAnsi="Times New Roman" w:cs="Times New Roman"/>
                <w:lang w:val="es-MX" w:eastAsia="es-MX"/>
              </w:rPr>
            </w:pPr>
          </w:p>
        </w:tc>
      </w:tr>
      <w:tr w:rsidR="00EA7912" w:rsidRPr="00F467F6" w14:paraId="327E432A" w14:textId="77777777" w:rsidTr="00B65A17">
        <w:trPr>
          <w:trHeight w:val="70"/>
        </w:trPr>
        <w:tc>
          <w:tcPr>
            <w:tcW w:w="533" w:type="dxa"/>
            <w:tcBorders>
              <w:top w:val="single" w:sz="4" w:space="0" w:color="auto"/>
              <w:left w:val="single" w:sz="4" w:space="0" w:color="auto"/>
              <w:bottom w:val="single" w:sz="4" w:space="0" w:color="auto"/>
              <w:right w:val="single" w:sz="4" w:space="0" w:color="auto"/>
            </w:tcBorders>
            <w:hideMark/>
          </w:tcPr>
          <w:p w14:paraId="07EF8FF1"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11. </w:t>
            </w:r>
          </w:p>
        </w:tc>
        <w:tc>
          <w:tcPr>
            <w:tcW w:w="2141" w:type="dxa"/>
            <w:tcBorders>
              <w:top w:val="single" w:sz="4" w:space="0" w:color="auto"/>
              <w:left w:val="single" w:sz="4" w:space="0" w:color="auto"/>
              <w:bottom w:val="single" w:sz="4" w:space="0" w:color="auto"/>
              <w:right w:val="single" w:sz="4" w:space="0" w:color="auto"/>
            </w:tcBorders>
            <w:hideMark/>
          </w:tcPr>
          <w:p w14:paraId="0C71C527" w14:textId="77777777" w:rsidR="00EA7912" w:rsidRPr="00F467F6" w:rsidRDefault="00EA7912" w:rsidP="00B65A17">
            <w:pPr>
              <w:spacing w:after="0" w:line="240" w:lineRule="auto"/>
              <w:jc w:val="both"/>
              <w:rPr>
                <w:rFonts w:ascii="Times New Roman" w:hAnsi="Times New Roman" w:cs="Times New Roman"/>
                <w:b/>
                <w:lang w:val="es-MX" w:eastAsia="es-MX"/>
              </w:rPr>
            </w:pPr>
            <w:r w:rsidRPr="00F467F6">
              <w:rPr>
                <w:rFonts w:ascii="Times New Roman" w:hAnsi="Times New Roman" w:cs="Times New Roman"/>
                <w:b/>
                <w:lang w:val="es-MX" w:eastAsia="es-MX"/>
              </w:rPr>
              <w:t xml:space="preserve">Comentario </w:t>
            </w:r>
          </w:p>
        </w:tc>
        <w:tc>
          <w:tcPr>
            <w:tcW w:w="6535" w:type="dxa"/>
            <w:tcBorders>
              <w:top w:val="single" w:sz="4" w:space="0" w:color="auto"/>
              <w:left w:val="single" w:sz="4" w:space="0" w:color="auto"/>
              <w:bottom w:val="single" w:sz="4" w:space="0" w:color="auto"/>
              <w:right w:val="single" w:sz="4" w:space="0" w:color="auto"/>
            </w:tcBorders>
          </w:tcPr>
          <w:p w14:paraId="30B421FA" w14:textId="56DA8624" w:rsidR="00FA30E1"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La decisión de la </w:t>
            </w:r>
            <w:r w:rsidR="008570B3" w:rsidRPr="00F467F6">
              <w:rPr>
                <w:rFonts w:ascii="Times New Roman" w:hAnsi="Times New Roman" w:cs="Times New Roman"/>
                <w:lang w:val="es-MX" w:eastAsia="es-MX"/>
              </w:rPr>
              <w:t xml:space="preserve">Corte </w:t>
            </w:r>
            <w:r w:rsidRPr="00F467F6">
              <w:rPr>
                <w:rFonts w:ascii="Times New Roman" w:hAnsi="Times New Roman" w:cs="Times New Roman"/>
                <w:lang w:val="es-MX" w:eastAsia="es-MX"/>
              </w:rPr>
              <w:t>Suprema es valiosa en lo relativo al principio de unidad de acción. El referido principio es recogido en diversos cuerpos normativos, desde la CPR, pasando por la LOCBGAE, la LBPA y leyes sectoriales. En el caso de la especie, la Corte</w:t>
            </w:r>
            <w:r w:rsidR="00426746" w:rsidRPr="00F467F6">
              <w:rPr>
                <w:rFonts w:ascii="Times New Roman" w:hAnsi="Times New Roman" w:cs="Times New Roman"/>
                <w:lang w:val="es-MX" w:eastAsia="es-MX"/>
              </w:rPr>
              <w:t>,</w:t>
            </w:r>
            <w:r w:rsidRPr="00F467F6">
              <w:rPr>
                <w:rFonts w:ascii="Times New Roman" w:hAnsi="Times New Roman" w:cs="Times New Roman"/>
                <w:lang w:val="es-MX" w:eastAsia="es-MX"/>
              </w:rPr>
              <w:t xml:space="preserve"> en una visión más finalista, </w:t>
            </w:r>
            <w:r w:rsidR="00426746" w:rsidRPr="00F467F6">
              <w:rPr>
                <w:rFonts w:ascii="Times New Roman" w:hAnsi="Times New Roman" w:cs="Times New Roman"/>
                <w:lang w:val="es-MX" w:eastAsia="es-MX"/>
              </w:rPr>
              <w:t>efectúo un análisis</w:t>
            </w:r>
            <w:r w:rsidRPr="00F467F6">
              <w:rPr>
                <w:rFonts w:ascii="Times New Roman" w:hAnsi="Times New Roman" w:cs="Times New Roman"/>
                <w:lang w:val="es-MX" w:eastAsia="es-MX"/>
              </w:rPr>
              <w:t xml:space="preserve"> desde la protección de la garantía invocada como conculcada, esto es, el derecho a vivir en un medioambiente libre de contaminación.</w:t>
            </w:r>
          </w:p>
          <w:p w14:paraId="0988328A" w14:textId="1B3959C4" w:rsidR="00FA30E1"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 xml:space="preserve">Así, a pesar de verificarse a juicio de la Corte, al menos 4 distintos órganos con competencias para pronunciarse o fiscalizar sobre el vertimiento de salmones, la sentencia centró su análisis en el ejercicio de cada una de ellas y no en su interrelación, o eventual conflicto. En este sentido los sentenciadores concluyeron correctamente que, cada una de las potestades fueron desatendidas y que dicha </w:t>
            </w:r>
            <w:r w:rsidR="00426746" w:rsidRPr="00F467F6">
              <w:rPr>
                <w:rFonts w:ascii="Times New Roman" w:hAnsi="Times New Roman" w:cs="Times New Roman"/>
                <w:lang w:val="es-MX" w:eastAsia="es-MX"/>
              </w:rPr>
              <w:t>omisión</w:t>
            </w:r>
            <w:r w:rsidRPr="00F467F6">
              <w:rPr>
                <w:rFonts w:ascii="Times New Roman" w:hAnsi="Times New Roman" w:cs="Times New Roman"/>
                <w:lang w:val="es-MX" w:eastAsia="es-MX"/>
              </w:rPr>
              <w:t xml:space="preserve"> produjo la lesión de la garantía invocada.</w:t>
            </w:r>
          </w:p>
          <w:p w14:paraId="49078CE2" w14:textId="2474D5F5" w:rsidR="00FA30E1" w:rsidRPr="00F467F6" w:rsidRDefault="00FA30E1"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En este punto, debe señalarse que compartimos el examen de legalidad efectuado por la Corte relativo al incumplimiento a los requisitos previstos en el Decreto N.° 476 de 1977 del Ministerio de Relaciones Exteriores que promulga el Convenio sobre prevención de la contaminación del mar por vertimiento de desechos y otras materias, a efectos de acoger la acción de protección, que comprobó el incumplimiento a las reglas relativas a este tipo de autorizaciones, que establecían por ejemplo el deber de la autoridad de cerciorarse que el vertimiento sería realizado reduciéndose “</w:t>
            </w:r>
            <w:r w:rsidRPr="00F467F6">
              <w:rPr>
                <w:rFonts w:ascii="Times New Roman" w:hAnsi="Times New Roman" w:cs="Times New Roman"/>
                <w:i/>
                <w:iCs/>
                <w:lang w:val="es-MX" w:eastAsia="es-MX"/>
              </w:rPr>
              <w:t>al mínimo la probabilidad de que se ocasionen daños a seres humanos o a la vida marina</w:t>
            </w:r>
            <w:r w:rsidRPr="00F467F6">
              <w:rPr>
                <w:rFonts w:ascii="Times New Roman" w:hAnsi="Times New Roman" w:cs="Times New Roman"/>
                <w:lang w:val="es-MX" w:eastAsia="es-MX"/>
              </w:rPr>
              <w:t xml:space="preserve">”. Sin embargo, </w:t>
            </w:r>
            <w:r w:rsidR="000B4CC1" w:rsidRPr="00F467F6">
              <w:rPr>
                <w:rFonts w:ascii="Times New Roman" w:hAnsi="Times New Roman" w:cs="Times New Roman"/>
                <w:lang w:val="es-MX" w:eastAsia="es-MX"/>
              </w:rPr>
              <w:t xml:space="preserve">a nuestro entender, </w:t>
            </w:r>
            <w:r w:rsidRPr="00F467F6">
              <w:rPr>
                <w:rFonts w:ascii="Times New Roman" w:hAnsi="Times New Roman" w:cs="Times New Roman"/>
                <w:lang w:val="es-MX" w:eastAsia="es-MX"/>
              </w:rPr>
              <w:t>deber advertirse que</w:t>
            </w:r>
            <w:r w:rsidR="000B4CC1" w:rsidRPr="00F467F6">
              <w:rPr>
                <w:rFonts w:ascii="Times New Roman" w:hAnsi="Times New Roman" w:cs="Times New Roman"/>
                <w:lang w:val="es-MX" w:eastAsia="es-MX"/>
              </w:rPr>
              <w:t>,</w:t>
            </w:r>
            <w:r w:rsidRPr="00F467F6">
              <w:rPr>
                <w:rFonts w:ascii="Times New Roman" w:hAnsi="Times New Roman" w:cs="Times New Roman"/>
                <w:lang w:val="es-MX" w:eastAsia="es-MX"/>
              </w:rPr>
              <w:t xml:space="preserve"> no aparece en la sentencia antecedente alguno que acredite daño ambiental o aun el riesgo de que este se produjera, </w:t>
            </w:r>
            <w:r w:rsidR="009B6B33" w:rsidRPr="00F467F6">
              <w:rPr>
                <w:rFonts w:ascii="Times New Roman" w:hAnsi="Times New Roman" w:cs="Times New Roman"/>
                <w:lang w:val="es-MX" w:eastAsia="es-MX"/>
              </w:rPr>
              <w:t xml:space="preserve">debiendo agregarse que </w:t>
            </w:r>
            <w:r w:rsidRPr="00F467F6">
              <w:rPr>
                <w:rFonts w:ascii="Times New Roman" w:hAnsi="Times New Roman" w:cs="Times New Roman"/>
                <w:lang w:val="es-MX" w:eastAsia="es-MX"/>
              </w:rPr>
              <w:t>en las medidas correctivas decretadas por la Corte, se soslaya esta ausencia, y se ordena a los órganos recurridos actuar para “</w:t>
            </w:r>
            <w:r w:rsidRPr="00F467F6">
              <w:rPr>
                <w:rFonts w:ascii="Times New Roman" w:hAnsi="Times New Roman" w:cs="Times New Roman"/>
                <w:i/>
                <w:iCs/>
                <w:lang w:val="es-MX" w:eastAsia="es-MX"/>
              </w:rPr>
              <w:t xml:space="preserve">evitar riesgos para la salud de la población y los daños al </w:t>
            </w:r>
            <w:r w:rsidR="009B6B33" w:rsidRPr="00F467F6">
              <w:rPr>
                <w:rFonts w:ascii="Times New Roman" w:hAnsi="Times New Roman" w:cs="Times New Roman"/>
                <w:i/>
                <w:iCs/>
                <w:lang w:val="es-MX" w:eastAsia="es-MX"/>
              </w:rPr>
              <w:t>mediambiente</w:t>
            </w:r>
            <w:r w:rsidRPr="00F467F6">
              <w:rPr>
                <w:rFonts w:ascii="Times New Roman" w:hAnsi="Times New Roman" w:cs="Times New Roman"/>
                <w:lang w:val="es-MX" w:eastAsia="es-MX"/>
              </w:rPr>
              <w:t>”.</w:t>
            </w:r>
          </w:p>
          <w:p w14:paraId="46E45E80" w14:textId="0FBA944B" w:rsidR="00FA30E1" w:rsidRPr="00F467F6" w:rsidRDefault="009B6B33" w:rsidP="00FA30E1">
            <w:pPr>
              <w:spacing w:after="0" w:line="240" w:lineRule="auto"/>
              <w:jc w:val="both"/>
              <w:rPr>
                <w:rFonts w:ascii="Times New Roman" w:hAnsi="Times New Roman" w:cs="Times New Roman"/>
                <w:lang w:val="es-MX" w:eastAsia="es-MX"/>
              </w:rPr>
            </w:pPr>
            <w:r w:rsidRPr="00F467F6">
              <w:rPr>
                <w:rFonts w:ascii="Times New Roman" w:hAnsi="Times New Roman" w:cs="Times New Roman"/>
                <w:lang w:val="es-MX" w:eastAsia="es-MX"/>
              </w:rPr>
              <w:t>Por otro lado, es dable señalar que, e</w:t>
            </w:r>
            <w:r w:rsidR="00FA30E1" w:rsidRPr="00F467F6">
              <w:rPr>
                <w:rFonts w:ascii="Times New Roman" w:hAnsi="Times New Roman" w:cs="Times New Roman"/>
                <w:lang w:val="es-MX" w:eastAsia="es-MX"/>
              </w:rPr>
              <w:t xml:space="preserve">n general, tanto la doctrina como la jurisprudencia administrativa y judicial reconocen que los errores que comenta la </w:t>
            </w:r>
            <w:r w:rsidR="00FC52D3" w:rsidRPr="00F467F6">
              <w:rPr>
                <w:rFonts w:ascii="Times New Roman" w:hAnsi="Times New Roman" w:cs="Times New Roman"/>
                <w:lang w:val="es-MX" w:eastAsia="es-MX"/>
              </w:rPr>
              <w:t>Administración</w:t>
            </w:r>
            <w:r w:rsidR="00FA30E1" w:rsidRPr="00F467F6">
              <w:rPr>
                <w:rFonts w:ascii="Times New Roman" w:hAnsi="Times New Roman" w:cs="Times New Roman"/>
                <w:lang w:val="es-MX" w:eastAsia="es-MX"/>
              </w:rPr>
              <w:t xml:space="preserve"> no podrán afectar a quienes hubieran actuado de buena fe. Así, en el entendido que la falta de fiscalización, y de ejercicio de las potestades que el ordenamiento reconoce a cada órgano incumbente, fue a estos efectos, un mero error, corresponde determinar si el solicitante de la autorización se encontraba de buena fe</w:t>
            </w:r>
            <w:r w:rsidR="00FC52D3" w:rsidRPr="00F467F6">
              <w:rPr>
                <w:rFonts w:ascii="Times New Roman" w:hAnsi="Times New Roman" w:cs="Times New Roman"/>
                <w:lang w:val="es-MX" w:eastAsia="es-MX"/>
              </w:rPr>
              <w:t>, cuestión que, a nuestro entender, no se produce en el caso en comento,</w:t>
            </w:r>
            <w:r w:rsidR="00FA30E1" w:rsidRPr="00F467F6">
              <w:rPr>
                <w:rFonts w:ascii="Times New Roman" w:hAnsi="Times New Roman" w:cs="Times New Roman"/>
                <w:lang w:val="es-MX" w:eastAsia="es-MX"/>
              </w:rPr>
              <w:t xml:space="preserve"> </w:t>
            </w:r>
            <w:r w:rsidR="00FC52D3" w:rsidRPr="00F467F6">
              <w:rPr>
                <w:rFonts w:ascii="Times New Roman" w:hAnsi="Times New Roman" w:cs="Times New Roman"/>
                <w:lang w:val="es-MX" w:eastAsia="es-MX"/>
              </w:rPr>
              <w:t>puesto que el interesado,</w:t>
            </w:r>
            <w:r w:rsidR="00FA30E1" w:rsidRPr="00F467F6">
              <w:rPr>
                <w:rFonts w:ascii="Times New Roman" w:hAnsi="Times New Roman" w:cs="Times New Roman"/>
                <w:lang w:val="es-MX" w:eastAsia="es-MX"/>
              </w:rPr>
              <w:t xml:space="preserve"> </w:t>
            </w:r>
            <w:r w:rsidR="00FC52D3" w:rsidRPr="00F467F6">
              <w:rPr>
                <w:rFonts w:ascii="Times New Roman" w:hAnsi="Times New Roman" w:cs="Times New Roman"/>
                <w:lang w:val="es-MX" w:eastAsia="es-MX"/>
              </w:rPr>
              <w:t>promovió</w:t>
            </w:r>
            <w:r w:rsidR="00FA30E1" w:rsidRPr="00F467F6">
              <w:rPr>
                <w:rFonts w:ascii="Times New Roman" w:hAnsi="Times New Roman" w:cs="Times New Roman"/>
                <w:lang w:val="es-MX" w:eastAsia="es-MX"/>
              </w:rPr>
              <w:t xml:space="preserve"> una solicitud en contravención al Decreto N° 476 de 1977, que regula eventos como el estudiado.</w:t>
            </w:r>
          </w:p>
          <w:p w14:paraId="736B2D1A" w14:textId="0CA77830" w:rsidR="00FA30E1" w:rsidRPr="00F467F6" w:rsidRDefault="00F467F6" w:rsidP="00FA30E1">
            <w:pPr>
              <w:spacing w:after="0" w:line="240" w:lineRule="auto"/>
              <w:jc w:val="both"/>
              <w:rPr>
                <w:rFonts w:ascii="Times New Roman" w:hAnsi="Times New Roman" w:cs="Times New Roman"/>
                <w:lang w:val="es-MX" w:eastAsia="es-MX"/>
              </w:rPr>
            </w:pPr>
            <w:r>
              <w:rPr>
                <w:rFonts w:ascii="Times New Roman" w:hAnsi="Times New Roman" w:cs="Times New Roman"/>
                <w:lang w:val="es-MX" w:eastAsia="es-MX"/>
              </w:rPr>
              <w:t>En otro orden de cosas</w:t>
            </w:r>
            <w:r w:rsidR="00FA30E1" w:rsidRPr="00F467F6">
              <w:rPr>
                <w:rFonts w:ascii="Times New Roman" w:hAnsi="Times New Roman" w:cs="Times New Roman"/>
                <w:lang w:val="es-MX" w:eastAsia="es-MX"/>
              </w:rPr>
              <w:t>, aun en el entendido que la muerte de los salmones se tratara de un caso fortuito o fuerza mayor como lo declaró la autoridad para emitir la autorización, nada permite concluir que el solicitante se encontraba relevado de los deberes realizar gestiones tendientes a controlar sus efectos</w:t>
            </w:r>
            <w:r>
              <w:rPr>
                <w:rFonts w:ascii="Times New Roman" w:hAnsi="Times New Roman" w:cs="Times New Roman"/>
                <w:lang w:val="es-MX" w:eastAsia="es-MX"/>
              </w:rPr>
              <w:t xml:space="preserve">, ni siquiera el hecho de haber sido autorizadas por la autoridad competentes para proceder de dicha forma. En este sentido, </w:t>
            </w:r>
            <w:r w:rsidR="00FA30E1" w:rsidRPr="00F467F6">
              <w:rPr>
                <w:rFonts w:ascii="Times New Roman" w:hAnsi="Times New Roman" w:cs="Times New Roman"/>
                <w:lang w:val="es-MX" w:eastAsia="es-MX"/>
              </w:rPr>
              <w:t xml:space="preserve">y como cuestión final debe evaluarse la autorización, </w:t>
            </w:r>
            <w:r w:rsidR="00E97839">
              <w:rPr>
                <w:rFonts w:ascii="Times New Roman" w:hAnsi="Times New Roman" w:cs="Times New Roman"/>
                <w:lang w:val="es-MX" w:eastAsia="es-MX"/>
              </w:rPr>
              <w:t>como</w:t>
            </w:r>
            <w:r w:rsidR="00FA30E1" w:rsidRPr="00F467F6">
              <w:rPr>
                <w:rFonts w:ascii="Times New Roman" w:hAnsi="Times New Roman" w:cs="Times New Roman"/>
                <w:lang w:val="es-MX" w:eastAsia="es-MX"/>
              </w:rPr>
              <w:t xml:space="preserve"> una exculpante por caso fortuito o fuerza mayor en el caso de un acto de autoridad y la exculpante de cumplimiento de un deber. Respecto de la primera, debe descartarse al no verificarse los requisitos de previsibilidad, dado que el acto de la autoridad, se ocasionó motivado por la solicitud promovida por el interesado, no resultando por lo tanto imposible de prever.</w:t>
            </w:r>
            <w:r w:rsidR="00E97839">
              <w:rPr>
                <w:rFonts w:ascii="Times New Roman" w:hAnsi="Times New Roman" w:cs="Times New Roman"/>
                <w:lang w:val="es-MX" w:eastAsia="es-MX"/>
              </w:rPr>
              <w:t xml:space="preserve"> </w:t>
            </w:r>
            <w:r w:rsidR="00FA30E1" w:rsidRPr="00F467F6">
              <w:rPr>
                <w:rFonts w:ascii="Times New Roman" w:hAnsi="Times New Roman" w:cs="Times New Roman"/>
                <w:lang w:val="es-MX" w:eastAsia="es-MX"/>
              </w:rPr>
              <w:t xml:space="preserve">Ahora bien, en lo relativo al cumplimiento del deber, corresponde señalar que a la época que la autorización se extendió, como todo acto administrativo, dicha decisión se encontraba asistida por los efectos de ejecutividad y ejecutoriedad. De manera que, a pesar de los reproches de fondo que en ese entonces pudiera haberse formulado, la verdad es que, las entidades autorizadas no solo se encontraban facultadas para verter los salmones en la forma señalada sino que dado el estado de emergencia sanitaria, debían actuar en la forma ordenada por la autoridad, configurándose en la especie una eximente de responsabilidad. </w:t>
            </w:r>
          </w:p>
          <w:p w14:paraId="067ADD09" w14:textId="7E843362" w:rsidR="00EA7912" w:rsidRPr="00F467F6" w:rsidRDefault="00EA7912" w:rsidP="00B65A17">
            <w:pPr>
              <w:spacing w:after="0" w:line="240" w:lineRule="auto"/>
              <w:jc w:val="both"/>
              <w:rPr>
                <w:rFonts w:ascii="Times New Roman" w:hAnsi="Times New Roman" w:cs="Times New Roman"/>
                <w:lang w:val="es-MX" w:eastAsia="es-MX"/>
              </w:rPr>
            </w:pPr>
          </w:p>
        </w:tc>
      </w:tr>
    </w:tbl>
    <w:p w14:paraId="0BF8D0E2" w14:textId="77777777" w:rsidR="004910BE" w:rsidRPr="00F467F6" w:rsidRDefault="004910BE" w:rsidP="004910BE">
      <w:pPr>
        <w:spacing w:after="0" w:line="120" w:lineRule="auto"/>
        <w:rPr>
          <w:rFonts w:ascii="Times New Roman" w:hAnsi="Times New Roman" w:cs="Times New Roman"/>
          <w:b/>
          <w:bCs/>
        </w:rPr>
      </w:pPr>
    </w:p>
    <w:p w14:paraId="46A83540" w14:textId="3E0FA9D9" w:rsidR="00CD2562" w:rsidRPr="00F467F6" w:rsidRDefault="00CD2562">
      <w:pPr>
        <w:rPr>
          <w:rFonts w:ascii="Times New Roman" w:hAnsi="Times New Roman" w:cs="Times New Roman"/>
          <w:lang w:val="es-MX"/>
        </w:rPr>
      </w:pPr>
    </w:p>
    <w:sectPr w:rsidR="00CD2562" w:rsidRPr="00F46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72D"/>
    <w:multiLevelType w:val="hybridMultilevel"/>
    <w:tmpl w:val="5686A4F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0571AC9"/>
    <w:multiLevelType w:val="hybridMultilevel"/>
    <w:tmpl w:val="F0C0B74E"/>
    <w:lvl w:ilvl="0" w:tplc="57DCF08C">
      <w:numFmt w:val="bullet"/>
      <w:lvlText w:val="-"/>
      <w:lvlJc w:val="left"/>
      <w:pPr>
        <w:ind w:left="1020" w:hanging="360"/>
      </w:pPr>
      <w:rPr>
        <w:rFonts w:ascii="Times New Roman" w:eastAsiaTheme="minorHAnsi" w:hAnsi="Times New Roman" w:cs="Times New Roman"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 w15:restartNumberingAfterBreak="0">
    <w:nsid w:val="4A4F71F0"/>
    <w:multiLevelType w:val="hybridMultilevel"/>
    <w:tmpl w:val="28B4F73E"/>
    <w:lvl w:ilvl="0" w:tplc="FD7C15D6">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3" w15:restartNumberingAfterBreak="0">
    <w:nsid w:val="5A8B3CB4"/>
    <w:multiLevelType w:val="hybridMultilevel"/>
    <w:tmpl w:val="D0F25CCA"/>
    <w:lvl w:ilvl="0" w:tplc="1D7C658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F33B32"/>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10B782C"/>
    <w:multiLevelType w:val="hybridMultilevel"/>
    <w:tmpl w:val="DF5080A2"/>
    <w:lvl w:ilvl="0" w:tplc="746E032A">
      <w:numFmt w:val="bullet"/>
      <w:lvlText w:val="-"/>
      <w:lvlJc w:val="left"/>
      <w:pPr>
        <w:ind w:left="1080" w:hanging="360"/>
      </w:pPr>
      <w:rPr>
        <w:rFonts w:ascii="Times New Roman" w:eastAsiaTheme="minorHAnsi" w:hAnsi="Times New Roman" w:cs="Times New Roman" w:hint="default"/>
        <w:sz w:val="24"/>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E1"/>
    <w:rsid w:val="000046DB"/>
    <w:rsid w:val="000134E3"/>
    <w:rsid w:val="00015220"/>
    <w:rsid w:val="00045689"/>
    <w:rsid w:val="0009751B"/>
    <w:rsid w:val="000B4CC1"/>
    <w:rsid w:val="000E6C32"/>
    <w:rsid w:val="001111BA"/>
    <w:rsid w:val="001159BF"/>
    <w:rsid w:val="001C4226"/>
    <w:rsid w:val="001E6CAB"/>
    <w:rsid w:val="00226B35"/>
    <w:rsid w:val="00252456"/>
    <w:rsid w:val="00271567"/>
    <w:rsid w:val="0028606C"/>
    <w:rsid w:val="002A16B6"/>
    <w:rsid w:val="002B435A"/>
    <w:rsid w:val="002E26C1"/>
    <w:rsid w:val="002F2652"/>
    <w:rsid w:val="00313FE6"/>
    <w:rsid w:val="00315C17"/>
    <w:rsid w:val="00326086"/>
    <w:rsid w:val="003658DE"/>
    <w:rsid w:val="003C31FD"/>
    <w:rsid w:val="003D152B"/>
    <w:rsid w:val="003D4597"/>
    <w:rsid w:val="00402EFA"/>
    <w:rsid w:val="00426746"/>
    <w:rsid w:val="00433520"/>
    <w:rsid w:val="00433602"/>
    <w:rsid w:val="0043561C"/>
    <w:rsid w:val="004910BE"/>
    <w:rsid w:val="004D1B54"/>
    <w:rsid w:val="004F1F25"/>
    <w:rsid w:val="004F6D7F"/>
    <w:rsid w:val="00566C28"/>
    <w:rsid w:val="005A739E"/>
    <w:rsid w:val="005E46C5"/>
    <w:rsid w:val="00612242"/>
    <w:rsid w:val="0066188D"/>
    <w:rsid w:val="00670F17"/>
    <w:rsid w:val="006B0EA0"/>
    <w:rsid w:val="006D6E44"/>
    <w:rsid w:val="006F29A8"/>
    <w:rsid w:val="00734D63"/>
    <w:rsid w:val="007D2758"/>
    <w:rsid w:val="00821798"/>
    <w:rsid w:val="008570B3"/>
    <w:rsid w:val="008A622D"/>
    <w:rsid w:val="009010DC"/>
    <w:rsid w:val="00921905"/>
    <w:rsid w:val="00962EDD"/>
    <w:rsid w:val="00990733"/>
    <w:rsid w:val="00993691"/>
    <w:rsid w:val="009B6B33"/>
    <w:rsid w:val="00A172CE"/>
    <w:rsid w:val="00A40EC6"/>
    <w:rsid w:val="00A76C08"/>
    <w:rsid w:val="00A94500"/>
    <w:rsid w:val="00AD3C5E"/>
    <w:rsid w:val="00AE3B0A"/>
    <w:rsid w:val="00AE4651"/>
    <w:rsid w:val="00AF1D8E"/>
    <w:rsid w:val="00AF7747"/>
    <w:rsid w:val="00B51FA0"/>
    <w:rsid w:val="00B971DE"/>
    <w:rsid w:val="00BD02BE"/>
    <w:rsid w:val="00BF3B91"/>
    <w:rsid w:val="00C462EA"/>
    <w:rsid w:val="00C508B7"/>
    <w:rsid w:val="00C61D22"/>
    <w:rsid w:val="00C81C58"/>
    <w:rsid w:val="00CA19DE"/>
    <w:rsid w:val="00CB3E80"/>
    <w:rsid w:val="00CC1368"/>
    <w:rsid w:val="00CC29A9"/>
    <w:rsid w:val="00CC47E1"/>
    <w:rsid w:val="00CD2562"/>
    <w:rsid w:val="00D107DE"/>
    <w:rsid w:val="00DA0482"/>
    <w:rsid w:val="00DA41E9"/>
    <w:rsid w:val="00DE0339"/>
    <w:rsid w:val="00DE5374"/>
    <w:rsid w:val="00DF4944"/>
    <w:rsid w:val="00E103AA"/>
    <w:rsid w:val="00E21BEF"/>
    <w:rsid w:val="00E54BFD"/>
    <w:rsid w:val="00E97839"/>
    <w:rsid w:val="00EA7912"/>
    <w:rsid w:val="00EB6709"/>
    <w:rsid w:val="00EF7811"/>
    <w:rsid w:val="00F0797E"/>
    <w:rsid w:val="00F16856"/>
    <w:rsid w:val="00F22937"/>
    <w:rsid w:val="00F467F6"/>
    <w:rsid w:val="00F90537"/>
    <w:rsid w:val="00F97AF3"/>
    <w:rsid w:val="00FA30E1"/>
    <w:rsid w:val="00FB1493"/>
    <w:rsid w:val="00FC5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08A"/>
  <w15:chartTrackingRefBased/>
  <w15:docId w15:val="{8A8FF2F4-165A-4AB1-9E8D-3709600D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7E1"/>
    <w:pPr>
      <w:ind w:left="720"/>
      <w:contextualSpacing/>
    </w:pPr>
  </w:style>
  <w:style w:type="table" w:styleId="Tablaconcuadrcula">
    <w:name w:val="Table Grid"/>
    <w:basedOn w:val="Tablanormal"/>
    <w:uiPriority w:val="39"/>
    <w:rsid w:val="00CC47E1"/>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2562"/>
    <w:rPr>
      <w:sz w:val="16"/>
      <w:szCs w:val="16"/>
    </w:rPr>
  </w:style>
  <w:style w:type="paragraph" w:styleId="Textocomentario">
    <w:name w:val="annotation text"/>
    <w:basedOn w:val="Normal"/>
    <w:link w:val="TextocomentarioCar"/>
    <w:uiPriority w:val="99"/>
    <w:semiHidden/>
    <w:unhideWhenUsed/>
    <w:rsid w:val="00CD25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2562"/>
    <w:rPr>
      <w:sz w:val="20"/>
      <w:szCs w:val="20"/>
    </w:rPr>
  </w:style>
  <w:style w:type="paragraph" w:styleId="Asuntodelcomentario">
    <w:name w:val="annotation subject"/>
    <w:basedOn w:val="Textocomentario"/>
    <w:next w:val="Textocomentario"/>
    <w:link w:val="AsuntodelcomentarioCar"/>
    <w:uiPriority w:val="99"/>
    <w:semiHidden/>
    <w:unhideWhenUsed/>
    <w:rsid w:val="00CD2562"/>
    <w:rPr>
      <w:b/>
      <w:bCs/>
    </w:rPr>
  </w:style>
  <w:style w:type="character" w:customStyle="1" w:styleId="AsuntodelcomentarioCar">
    <w:name w:val="Asunto del comentario Car"/>
    <w:basedOn w:val="TextocomentarioCar"/>
    <w:link w:val="Asuntodelcomentario"/>
    <w:uiPriority w:val="99"/>
    <w:semiHidden/>
    <w:rsid w:val="00CD2562"/>
    <w:rPr>
      <w:b/>
      <w:bCs/>
      <w:sz w:val="20"/>
      <w:szCs w:val="20"/>
    </w:rPr>
  </w:style>
  <w:style w:type="paragraph" w:styleId="Textodeglobo">
    <w:name w:val="Balloon Text"/>
    <w:basedOn w:val="Normal"/>
    <w:link w:val="TextodegloboCar"/>
    <w:uiPriority w:val="99"/>
    <w:semiHidden/>
    <w:unhideWhenUsed/>
    <w:rsid w:val="00CD25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562"/>
    <w:rPr>
      <w:rFonts w:ascii="Segoe UI" w:hAnsi="Segoe UI" w:cs="Segoe UI"/>
      <w:sz w:val="18"/>
      <w:szCs w:val="18"/>
    </w:rPr>
  </w:style>
  <w:style w:type="character" w:styleId="Hipervnculo">
    <w:name w:val="Hyperlink"/>
    <w:basedOn w:val="Fuentedeprrafopredeter"/>
    <w:uiPriority w:val="99"/>
    <w:unhideWhenUsed/>
    <w:rsid w:val="00EA7912"/>
    <w:rPr>
      <w:color w:val="0563C1" w:themeColor="hyperlink"/>
      <w:u w:val="single"/>
    </w:rPr>
  </w:style>
  <w:style w:type="paragraph" w:styleId="NormalWeb">
    <w:name w:val="Normal (Web)"/>
    <w:basedOn w:val="Normal"/>
    <w:uiPriority w:val="99"/>
    <w:unhideWhenUsed/>
    <w:rsid w:val="004F1F2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6891">
      <w:bodyDiv w:val="1"/>
      <w:marLeft w:val="0"/>
      <w:marRight w:val="0"/>
      <w:marTop w:val="0"/>
      <w:marBottom w:val="0"/>
      <w:divBdr>
        <w:top w:val="none" w:sz="0" w:space="0" w:color="auto"/>
        <w:left w:val="none" w:sz="0" w:space="0" w:color="auto"/>
        <w:bottom w:val="none" w:sz="0" w:space="0" w:color="auto"/>
        <w:right w:val="none" w:sz="0" w:space="0" w:color="auto"/>
      </w:divBdr>
    </w:div>
    <w:div w:id="444469690">
      <w:bodyDiv w:val="1"/>
      <w:marLeft w:val="0"/>
      <w:marRight w:val="0"/>
      <w:marTop w:val="0"/>
      <w:marBottom w:val="0"/>
      <w:divBdr>
        <w:top w:val="none" w:sz="0" w:space="0" w:color="auto"/>
        <w:left w:val="none" w:sz="0" w:space="0" w:color="auto"/>
        <w:bottom w:val="none" w:sz="0" w:space="0" w:color="auto"/>
        <w:right w:val="none" w:sz="0" w:space="0" w:color="auto"/>
      </w:divBdr>
    </w:div>
    <w:div w:id="1235354277">
      <w:bodyDiv w:val="1"/>
      <w:marLeft w:val="0"/>
      <w:marRight w:val="0"/>
      <w:marTop w:val="0"/>
      <w:marBottom w:val="0"/>
      <w:divBdr>
        <w:top w:val="none" w:sz="0" w:space="0" w:color="auto"/>
        <w:left w:val="none" w:sz="0" w:space="0" w:color="auto"/>
        <w:bottom w:val="none" w:sz="0" w:space="0" w:color="auto"/>
        <w:right w:val="none" w:sz="0" w:space="0" w:color="auto"/>
      </w:divBdr>
    </w:div>
    <w:div w:id="1497186829">
      <w:bodyDiv w:val="1"/>
      <w:marLeft w:val="0"/>
      <w:marRight w:val="0"/>
      <w:marTop w:val="0"/>
      <w:marBottom w:val="0"/>
      <w:divBdr>
        <w:top w:val="none" w:sz="0" w:space="0" w:color="auto"/>
        <w:left w:val="none" w:sz="0" w:space="0" w:color="auto"/>
        <w:bottom w:val="none" w:sz="0" w:space="0" w:color="auto"/>
        <w:right w:val="none" w:sz="0" w:space="0" w:color="auto"/>
      </w:divBdr>
    </w:div>
    <w:div w:id="1598513113">
      <w:bodyDiv w:val="1"/>
      <w:marLeft w:val="0"/>
      <w:marRight w:val="0"/>
      <w:marTop w:val="0"/>
      <w:marBottom w:val="0"/>
      <w:divBdr>
        <w:top w:val="none" w:sz="0" w:space="0" w:color="auto"/>
        <w:left w:val="none" w:sz="0" w:space="0" w:color="auto"/>
        <w:bottom w:val="none" w:sz="0" w:space="0" w:color="auto"/>
        <w:right w:val="none" w:sz="0" w:space="0" w:color="auto"/>
      </w:divBdr>
    </w:div>
    <w:div w:id="1651904274">
      <w:bodyDiv w:val="1"/>
      <w:marLeft w:val="0"/>
      <w:marRight w:val="0"/>
      <w:marTop w:val="0"/>
      <w:marBottom w:val="0"/>
      <w:divBdr>
        <w:top w:val="none" w:sz="0" w:space="0" w:color="auto"/>
        <w:left w:val="none" w:sz="0" w:space="0" w:color="auto"/>
        <w:bottom w:val="none" w:sz="0" w:space="0" w:color="auto"/>
        <w:right w:val="none" w:sz="0" w:space="0" w:color="auto"/>
      </w:divBdr>
      <w:divsChild>
        <w:div w:id="442000760">
          <w:marLeft w:val="0"/>
          <w:marRight w:val="0"/>
          <w:marTop w:val="0"/>
          <w:marBottom w:val="0"/>
          <w:divBdr>
            <w:top w:val="none" w:sz="0" w:space="0" w:color="auto"/>
            <w:left w:val="none" w:sz="0" w:space="0" w:color="auto"/>
            <w:bottom w:val="none" w:sz="0" w:space="0" w:color="auto"/>
            <w:right w:val="none" w:sz="0" w:space="0" w:color="auto"/>
          </w:divBdr>
        </w:div>
        <w:div w:id="1591347581">
          <w:marLeft w:val="0"/>
          <w:marRight w:val="0"/>
          <w:marTop w:val="0"/>
          <w:marBottom w:val="0"/>
          <w:divBdr>
            <w:top w:val="none" w:sz="0" w:space="0" w:color="auto"/>
            <w:left w:val="none" w:sz="0" w:space="0" w:color="auto"/>
            <w:bottom w:val="none" w:sz="0" w:space="0" w:color="auto"/>
            <w:right w:val="none" w:sz="0" w:space="0" w:color="auto"/>
          </w:divBdr>
        </w:div>
        <w:div w:id="2066953987">
          <w:marLeft w:val="0"/>
          <w:marRight w:val="0"/>
          <w:marTop w:val="0"/>
          <w:marBottom w:val="0"/>
          <w:divBdr>
            <w:top w:val="none" w:sz="0" w:space="0" w:color="auto"/>
            <w:left w:val="none" w:sz="0" w:space="0" w:color="auto"/>
            <w:bottom w:val="none" w:sz="0" w:space="0" w:color="auto"/>
            <w:right w:val="none" w:sz="0" w:space="0" w:color="auto"/>
          </w:divBdr>
        </w:div>
        <w:div w:id="217283486">
          <w:marLeft w:val="0"/>
          <w:marRight w:val="0"/>
          <w:marTop w:val="0"/>
          <w:marBottom w:val="0"/>
          <w:divBdr>
            <w:top w:val="none" w:sz="0" w:space="0" w:color="auto"/>
            <w:left w:val="none" w:sz="0" w:space="0" w:color="auto"/>
            <w:bottom w:val="none" w:sz="0" w:space="0" w:color="auto"/>
            <w:right w:val="none" w:sz="0" w:space="0" w:color="auto"/>
          </w:divBdr>
        </w:div>
        <w:div w:id="2058433125">
          <w:marLeft w:val="0"/>
          <w:marRight w:val="0"/>
          <w:marTop w:val="0"/>
          <w:marBottom w:val="0"/>
          <w:divBdr>
            <w:top w:val="none" w:sz="0" w:space="0" w:color="auto"/>
            <w:left w:val="none" w:sz="0" w:space="0" w:color="auto"/>
            <w:bottom w:val="none" w:sz="0" w:space="0" w:color="auto"/>
            <w:right w:val="none" w:sz="0" w:space="0" w:color="auto"/>
          </w:divBdr>
        </w:div>
        <w:div w:id="1386954155">
          <w:marLeft w:val="0"/>
          <w:marRight w:val="0"/>
          <w:marTop w:val="0"/>
          <w:marBottom w:val="0"/>
          <w:divBdr>
            <w:top w:val="none" w:sz="0" w:space="0" w:color="auto"/>
            <w:left w:val="none" w:sz="0" w:space="0" w:color="auto"/>
            <w:bottom w:val="none" w:sz="0" w:space="0" w:color="auto"/>
            <w:right w:val="none" w:sz="0" w:space="0" w:color="auto"/>
          </w:divBdr>
        </w:div>
        <w:div w:id="1722900833">
          <w:marLeft w:val="0"/>
          <w:marRight w:val="0"/>
          <w:marTop w:val="0"/>
          <w:marBottom w:val="0"/>
          <w:divBdr>
            <w:top w:val="none" w:sz="0" w:space="0" w:color="auto"/>
            <w:left w:val="none" w:sz="0" w:space="0" w:color="auto"/>
            <w:bottom w:val="none" w:sz="0" w:space="0" w:color="auto"/>
            <w:right w:val="none" w:sz="0" w:space="0" w:color="auto"/>
          </w:divBdr>
        </w:div>
        <w:div w:id="1693413348">
          <w:marLeft w:val="0"/>
          <w:marRight w:val="0"/>
          <w:marTop w:val="0"/>
          <w:marBottom w:val="0"/>
          <w:divBdr>
            <w:top w:val="none" w:sz="0" w:space="0" w:color="auto"/>
            <w:left w:val="none" w:sz="0" w:space="0" w:color="auto"/>
            <w:bottom w:val="none" w:sz="0" w:space="0" w:color="auto"/>
            <w:right w:val="none" w:sz="0" w:space="0" w:color="auto"/>
          </w:divBdr>
        </w:div>
        <w:div w:id="963728812">
          <w:marLeft w:val="0"/>
          <w:marRight w:val="0"/>
          <w:marTop w:val="0"/>
          <w:marBottom w:val="0"/>
          <w:divBdr>
            <w:top w:val="none" w:sz="0" w:space="0" w:color="auto"/>
            <w:left w:val="none" w:sz="0" w:space="0" w:color="auto"/>
            <w:bottom w:val="none" w:sz="0" w:space="0" w:color="auto"/>
            <w:right w:val="none" w:sz="0" w:space="0" w:color="auto"/>
          </w:divBdr>
        </w:div>
        <w:div w:id="1245383861">
          <w:marLeft w:val="0"/>
          <w:marRight w:val="0"/>
          <w:marTop w:val="0"/>
          <w:marBottom w:val="0"/>
          <w:divBdr>
            <w:top w:val="none" w:sz="0" w:space="0" w:color="auto"/>
            <w:left w:val="none" w:sz="0" w:space="0" w:color="auto"/>
            <w:bottom w:val="none" w:sz="0" w:space="0" w:color="auto"/>
            <w:right w:val="none" w:sz="0" w:space="0" w:color="auto"/>
          </w:divBdr>
        </w:div>
        <w:div w:id="59259142">
          <w:marLeft w:val="0"/>
          <w:marRight w:val="0"/>
          <w:marTop w:val="0"/>
          <w:marBottom w:val="0"/>
          <w:divBdr>
            <w:top w:val="none" w:sz="0" w:space="0" w:color="auto"/>
            <w:left w:val="none" w:sz="0" w:space="0" w:color="auto"/>
            <w:bottom w:val="none" w:sz="0" w:space="0" w:color="auto"/>
            <w:right w:val="none" w:sz="0" w:space="0" w:color="auto"/>
          </w:divBdr>
        </w:div>
        <w:div w:id="1140608128">
          <w:marLeft w:val="0"/>
          <w:marRight w:val="0"/>
          <w:marTop w:val="0"/>
          <w:marBottom w:val="0"/>
          <w:divBdr>
            <w:top w:val="none" w:sz="0" w:space="0" w:color="auto"/>
            <w:left w:val="none" w:sz="0" w:space="0" w:color="auto"/>
            <w:bottom w:val="none" w:sz="0" w:space="0" w:color="auto"/>
            <w:right w:val="none" w:sz="0" w:space="0" w:color="auto"/>
          </w:divBdr>
        </w:div>
        <w:div w:id="2011252835">
          <w:marLeft w:val="0"/>
          <w:marRight w:val="0"/>
          <w:marTop w:val="0"/>
          <w:marBottom w:val="0"/>
          <w:divBdr>
            <w:top w:val="none" w:sz="0" w:space="0" w:color="auto"/>
            <w:left w:val="none" w:sz="0" w:space="0" w:color="auto"/>
            <w:bottom w:val="none" w:sz="0" w:space="0" w:color="auto"/>
            <w:right w:val="none" w:sz="0" w:space="0" w:color="auto"/>
          </w:divBdr>
        </w:div>
        <w:div w:id="729502707">
          <w:marLeft w:val="0"/>
          <w:marRight w:val="0"/>
          <w:marTop w:val="0"/>
          <w:marBottom w:val="0"/>
          <w:divBdr>
            <w:top w:val="none" w:sz="0" w:space="0" w:color="auto"/>
            <w:left w:val="none" w:sz="0" w:space="0" w:color="auto"/>
            <w:bottom w:val="none" w:sz="0" w:space="0" w:color="auto"/>
            <w:right w:val="none" w:sz="0" w:space="0" w:color="auto"/>
          </w:divBdr>
        </w:div>
        <w:div w:id="99380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Cristóbal Osorio</cp:lastModifiedBy>
  <cp:revision>2</cp:revision>
  <dcterms:created xsi:type="dcterms:W3CDTF">2019-09-24T15:13:00Z</dcterms:created>
  <dcterms:modified xsi:type="dcterms:W3CDTF">2019-09-24T15:13:00Z</dcterms:modified>
</cp:coreProperties>
</file>