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D33" w:rsidRDefault="008B5D33" w:rsidP="008B5D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jc w:val="both"/>
        <w:rPr>
          <w:b/>
          <w:bCs/>
          <w:sz w:val="24"/>
          <w:szCs w:val="24"/>
          <w:u w:color="000000"/>
          <w:lang w:val="es-ES_tradnl"/>
        </w:rPr>
      </w:pPr>
      <w:bookmarkStart w:id="0" w:name="_Toc7793077"/>
      <w:bookmarkStart w:id="1" w:name="_GoBack"/>
      <w:bookmarkEnd w:id="1"/>
      <w:r w:rsidRPr="004C14A7">
        <w:rPr>
          <w:b/>
          <w:bCs/>
          <w:noProof/>
          <w:u w:color="000000"/>
          <w:lang w:eastAsia="es-CL"/>
        </w:rPr>
        <w:drawing>
          <wp:anchor distT="0" distB="0" distL="114300" distR="114300" simplePos="0" relativeHeight="251659264" behindDoc="0" locked="0" layoutInCell="1" allowOverlap="1">
            <wp:simplePos x="0" y="0"/>
            <wp:positionH relativeFrom="column">
              <wp:posOffset>1583055</wp:posOffset>
            </wp:positionH>
            <wp:positionV relativeFrom="paragraph">
              <wp:posOffset>41910</wp:posOffset>
            </wp:positionV>
            <wp:extent cx="3013710" cy="1743710"/>
            <wp:effectExtent l="0" t="0" r="0" b="0"/>
            <wp:wrapSquare wrapText="bothSides"/>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3710" cy="1743710"/>
                    </a:xfrm>
                    <a:prstGeom prst="rect">
                      <a:avLst/>
                    </a:prstGeom>
                  </pic:spPr>
                </pic:pic>
              </a:graphicData>
            </a:graphic>
          </wp:anchor>
        </w:drawing>
      </w:r>
    </w:p>
    <w:p w:rsidR="008B5D33" w:rsidRDefault="008B5D33" w:rsidP="008B5D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jc w:val="both"/>
        <w:rPr>
          <w:b/>
          <w:bCs/>
          <w:sz w:val="24"/>
          <w:szCs w:val="24"/>
          <w:u w:color="000000"/>
          <w:lang w:val="es-ES_tradnl"/>
        </w:rPr>
      </w:pPr>
    </w:p>
    <w:p w:rsidR="008B5D33" w:rsidRDefault="008B5D33" w:rsidP="008B5D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jc w:val="both"/>
        <w:rPr>
          <w:b/>
          <w:bCs/>
          <w:sz w:val="24"/>
          <w:szCs w:val="24"/>
          <w:u w:color="000000"/>
          <w:lang w:val="es-ES_tradnl"/>
        </w:rPr>
      </w:pPr>
    </w:p>
    <w:p w:rsidR="008B5D33" w:rsidRDefault="008B5D33" w:rsidP="008B5D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jc w:val="both"/>
        <w:rPr>
          <w:b/>
          <w:bCs/>
          <w:sz w:val="24"/>
          <w:szCs w:val="24"/>
          <w:u w:color="000000"/>
          <w:lang w:val="es-ES_tradnl"/>
        </w:rPr>
      </w:pPr>
    </w:p>
    <w:p w:rsidR="008B5D33" w:rsidRDefault="008B5D33" w:rsidP="008B5D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4"/>
          <w:szCs w:val="24"/>
          <w:u w:color="000000"/>
        </w:rPr>
      </w:pPr>
    </w:p>
    <w:p w:rsidR="008B5D33" w:rsidRDefault="008B5D33" w:rsidP="008B5D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4"/>
          <w:szCs w:val="24"/>
          <w:u w:color="000000"/>
        </w:rPr>
      </w:pPr>
    </w:p>
    <w:p w:rsidR="008B5D33" w:rsidRDefault="008B5D33" w:rsidP="008B5D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4"/>
          <w:szCs w:val="24"/>
          <w:u w:color="000000"/>
        </w:rPr>
      </w:pPr>
    </w:p>
    <w:p w:rsidR="008B5D33" w:rsidRDefault="008B5D33" w:rsidP="008B5D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4"/>
          <w:szCs w:val="24"/>
          <w:u w:color="000000"/>
        </w:rPr>
      </w:pPr>
    </w:p>
    <w:p w:rsidR="008B5D33" w:rsidRPr="0025466B" w:rsidRDefault="008B5D33" w:rsidP="008B5D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4"/>
          <w:szCs w:val="24"/>
          <w:u w:color="000000"/>
        </w:rPr>
      </w:pPr>
    </w:p>
    <w:p w:rsidR="008B5D33" w:rsidRDefault="008B5D33" w:rsidP="008B5D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outlineLvl w:val="0"/>
        <w:rPr>
          <w:rStyle w:val="Ninguno"/>
          <w:rFonts w:ascii="Arial" w:hAnsi="Arial" w:cs="Arial"/>
          <w:b/>
          <w:bCs/>
          <w:sz w:val="24"/>
          <w:szCs w:val="24"/>
          <w:u w:color="000000"/>
        </w:rPr>
      </w:pPr>
    </w:p>
    <w:p w:rsidR="007E240B" w:rsidRDefault="007E240B" w:rsidP="008B5D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outlineLvl w:val="0"/>
        <w:rPr>
          <w:rStyle w:val="Ninguno"/>
          <w:rFonts w:ascii="Arial" w:hAnsi="Arial" w:cs="Arial"/>
          <w:b/>
          <w:bCs/>
          <w:sz w:val="24"/>
          <w:szCs w:val="24"/>
          <w:u w:color="000000"/>
        </w:rPr>
      </w:pPr>
    </w:p>
    <w:p w:rsidR="008B5D33" w:rsidRPr="0025466B" w:rsidRDefault="008B5D33" w:rsidP="008B5D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outlineLvl w:val="0"/>
        <w:rPr>
          <w:rStyle w:val="Ninguno"/>
          <w:rFonts w:ascii="Arial" w:hAnsi="Arial" w:cs="Arial"/>
          <w:b/>
          <w:bCs/>
          <w:sz w:val="24"/>
          <w:szCs w:val="24"/>
          <w:u w:color="000000"/>
        </w:rPr>
      </w:pPr>
      <w:r w:rsidRPr="0025466B">
        <w:rPr>
          <w:rStyle w:val="Ninguno"/>
          <w:rFonts w:ascii="Arial" w:hAnsi="Arial" w:cs="Arial"/>
          <w:b/>
          <w:bCs/>
          <w:sz w:val="24"/>
          <w:szCs w:val="24"/>
          <w:u w:color="000000"/>
        </w:rPr>
        <w:t>Seminario de Casos</w:t>
      </w:r>
      <w:r>
        <w:rPr>
          <w:rStyle w:val="Ninguno"/>
          <w:rFonts w:ascii="Arial" w:hAnsi="Arial" w:cs="Arial"/>
          <w:b/>
          <w:bCs/>
          <w:sz w:val="24"/>
          <w:szCs w:val="24"/>
          <w:u w:color="000000"/>
        </w:rPr>
        <w:t xml:space="preserve"> Derecho Regulatorio</w:t>
      </w:r>
      <w:r w:rsidRPr="0025466B">
        <w:rPr>
          <w:rStyle w:val="Ninguno"/>
          <w:rFonts w:ascii="Arial" w:hAnsi="Arial" w:cs="Arial"/>
          <w:b/>
          <w:bCs/>
          <w:sz w:val="24"/>
          <w:szCs w:val="24"/>
          <w:u w:color="000000"/>
        </w:rPr>
        <w:t xml:space="preserve"> </w:t>
      </w:r>
    </w:p>
    <w:p w:rsidR="008B5D33" w:rsidRPr="0025466B" w:rsidRDefault="008B5D33" w:rsidP="008B5D3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outlineLvl w:val="0"/>
        <w:rPr>
          <w:rStyle w:val="Ninguno"/>
          <w:rFonts w:ascii="Arial" w:hAnsi="Arial" w:cs="Arial"/>
          <w:b/>
          <w:bCs/>
          <w:sz w:val="24"/>
          <w:szCs w:val="24"/>
          <w:u w:color="000000"/>
          <w:lang w:val="it-IT"/>
        </w:rPr>
      </w:pPr>
      <w:r w:rsidRPr="0025466B">
        <w:rPr>
          <w:rStyle w:val="Ninguno"/>
          <w:rFonts w:ascii="Arial" w:hAnsi="Arial" w:cs="Arial"/>
          <w:b/>
          <w:bCs/>
          <w:sz w:val="24"/>
          <w:szCs w:val="24"/>
          <w:u w:color="000000"/>
        </w:rPr>
        <w:t>Módulo I</w:t>
      </w:r>
      <w:r w:rsidR="007E240B">
        <w:rPr>
          <w:rStyle w:val="Ninguno"/>
          <w:rFonts w:ascii="Arial" w:hAnsi="Arial" w:cs="Arial"/>
          <w:b/>
          <w:bCs/>
          <w:sz w:val="24"/>
          <w:szCs w:val="24"/>
          <w:u w:color="000000"/>
        </w:rPr>
        <w:t>I</w:t>
      </w:r>
      <w:r w:rsidRPr="0025466B">
        <w:rPr>
          <w:rStyle w:val="Ninguno"/>
          <w:rFonts w:ascii="Arial" w:hAnsi="Arial" w:cs="Arial"/>
          <w:b/>
          <w:bCs/>
          <w:sz w:val="24"/>
          <w:szCs w:val="24"/>
          <w:u w:color="000000"/>
        </w:rPr>
        <w:t xml:space="preserve">: </w:t>
      </w:r>
      <w:r w:rsidR="007E240B">
        <w:rPr>
          <w:rStyle w:val="Ninguno"/>
          <w:rFonts w:ascii="Arial" w:hAnsi="Arial" w:cs="Arial"/>
          <w:b/>
          <w:bCs/>
          <w:sz w:val="24"/>
          <w:szCs w:val="24"/>
          <w:u w:color="000000"/>
        </w:rPr>
        <w:t>Derecho Administrativo Sancionatorio</w:t>
      </w:r>
    </w:p>
    <w:p w:rsidR="007E240B" w:rsidRPr="0025466B" w:rsidRDefault="007E240B" w:rsidP="007E240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outlineLvl w:val="0"/>
        <w:rPr>
          <w:rFonts w:ascii="Arial" w:hAnsi="Arial" w:cs="Arial"/>
          <w:sz w:val="24"/>
          <w:szCs w:val="24"/>
          <w:u w:color="000000"/>
        </w:rPr>
      </w:pPr>
      <w:proofErr w:type="spellStart"/>
      <w:r w:rsidRPr="0025466B">
        <w:rPr>
          <w:rFonts w:ascii="Arial" w:hAnsi="Arial" w:cs="Arial"/>
          <w:sz w:val="24"/>
          <w:szCs w:val="24"/>
          <w:u w:color="000000"/>
        </w:rPr>
        <w:t>Magí</w:t>
      </w:r>
      <w:r w:rsidRPr="0025466B">
        <w:rPr>
          <w:rFonts w:ascii="Arial" w:hAnsi="Arial" w:cs="Arial"/>
          <w:sz w:val="24"/>
          <w:szCs w:val="24"/>
          <w:u w:color="000000"/>
          <w:lang w:val="es-ES_tradnl"/>
        </w:rPr>
        <w:t>ster</w:t>
      </w:r>
      <w:proofErr w:type="spellEnd"/>
      <w:r w:rsidRPr="0025466B">
        <w:rPr>
          <w:rFonts w:ascii="Arial" w:hAnsi="Arial" w:cs="Arial"/>
          <w:sz w:val="24"/>
          <w:szCs w:val="24"/>
          <w:u w:color="000000"/>
          <w:lang w:val="es-ES_tradnl"/>
        </w:rPr>
        <w:t xml:space="preserve"> en Derecho, LLM UC</w:t>
      </w:r>
    </w:p>
    <w:p w:rsidR="007E240B" w:rsidRPr="0025466B" w:rsidRDefault="007E240B" w:rsidP="007E240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outlineLvl w:val="0"/>
        <w:rPr>
          <w:rFonts w:ascii="Arial" w:hAnsi="Arial" w:cs="Arial"/>
          <w:sz w:val="24"/>
          <w:szCs w:val="24"/>
          <w:u w:color="000000"/>
        </w:rPr>
      </w:pPr>
      <w:r w:rsidRPr="0025466B">
        <w:rPr>
          <w:rFonts w:ascii="Arial" w:hAnsi="Arial" w:cs="Arial"/>
          <w:sz w:val="24"/>
          <w:szCs w:val="24"/>
          <w:u w:color="000000"/>
          <w:lang w:val="es-ES_tradnl"/>
        </w:rPr>
        <w:t xml:space="preserve">Profesor: </w:t>
      </w:r>
      <w:r>
        <w:rPr>
          <w:rFonts w:ascii="Arial" w:hAnsi="Arial" w:cs="Arial"/>
          <w:sz w:val="24"/>
          <w:szCs w:val="24"/>
          <w:u w:color="000000"/>
          <w:lang w:val="es-ES_tradnl"/>
        </w:rPr>
        <w:t>Cristóbal Osorio Vargas</w:t>
      </w:r>
    </w:p>
    <w:p w:rsidR="007E240B" w:rsidRPr="0025466B" w:rsidRDefault="007E240B" w:rsidP="007E240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u w:color="000000"/>
        </w:rPr>
      </w:pPr>
    </w:p>
    <w:p w:rsidR="007E240B" w:rsidRPr="0025466B" w:rsidRDefault="007E240B" w:rsidP="007E240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u w:color="000000"/>
        </w:rPr>
      </w:pPr>
    </w:p>
    <w:p w:rsidR="007E240B" w:rsidRPr="0025466B" w:rsidRDefault="007E240B" w:rsidP="007E240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u w:color="000000"/>
        </w:rPr>
      </w:pPr>
    </w:p>
    <w:p w:rsidR="007E240B" w:rsidRPr="0025466B" w:rsidRDefault="007E240B" w:rsidP="007E240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u w:color="000000"/>
        </w:rPr>
      </w:pPr>
    </w:p>
    <w:p w:rsidR="007E240B" w:rsidRDefault="007E240B" w:rsidP="007E240B">
      <w:pPr>
        <w:spacing w:after="0" w:line="360" w:lineRule="auto"/>
        <w:jc w:val="center"/>
        <w:rPr>
          <w:rFonts w:ascii="Arial" w:hAnsi="Arial" w:cs="Arial"/>
          <w:b/>
          <w:sz w:val="24"/>
          <w:szCs w:val="24"/>
        </w:rPr>
      </w:pPr>
      <w:r>
        <w:rPr>
          <w:rFonts w:ascii="Arial" w:hAnsi="Arial" w:cs="Arial"/>
          <w:b/>
          <w:sz w:val="24"/>
          <w:szCs w:val="24"/>
        </w:rPr>
        <w:t xml:space="preserve">Grupo </w:t>
      </w:r>
      <w:proofErr w:type="spellStart"/>
      <w:r>
        <w:rPr>
          <w:rFonts w:ascii="Arial" w:hAnsi="Arial" w:cs="Arial"/>
          <w:b/>
          <w:sz w:val="24"/>
          <w:szCs w:val="24"/>
        </w:rPr>
        <w:t>N°</w:t>
      </w:r>
      <w:proofErr w:type="spellEnd"/>
      <w:r>
        <w:rPr>
          <w:rFonts w:ascii="Arial" w:hAnsi="Arial" w:cs="Arial"/>
          <w:b/>
          <w:sz w:val="24"/>
          <w:szCs w:val="24"/>
        </w:rPr>
        <w:t xml:space="preserve"> 7 </w:t>
      </w:r>
    </w:p>
    <w:p w:rsidR="007E240B" w:rsidRPr="0025466B" w:rsidRDefault="007E240B" w:rsidP="007E240B">
      <w:pPr>
        <w:spacing w:after="0" w:line="360" w:lineRule="auto"/>
        <w:jc w:val="center"/>
        <w:rPr>
          <w:rFonts w:ascii="Arial" w:hAnsi="Arial" w:cs="Arial"/>
          <w:b/>
          <w:sz w:val="24"/>
          <w:szCs w:val="24"/>
        </w:rPr>
      </w:pPr>
      <w:r w:rsidRPr="001C0878">
        <w:rPr>
          <w:rFonts w:ascii="Arial" w:hAnsi="Arial" w:cs="Arial"/>
          <w:b/>
          <w:sz w:val="24"/>
          <w:szCs w:val="24"/>
        </w:rPr>
        <w:t xml:space="preserve">Infracciones: Caso </w:t>
      </w:r>
      <w:proofErr w:type="spellStart"/>
      <w:r w:rsidRPr="001C0878">
        <w:rPr>
          <w:rFonts w:ascii="Arial" w:hAnsi="Arial" w:cs="Arial"/>
          <w:b/>
          <w:sz w:val="24"/>
          <w:szCs w:val="24"/>
        </w:rPr>
        <w:t>Colhue</w:t>
      </w:r>
      <w:proofErr w:type="spellEnd"/>
      <w:r w:rsidRPr="001C0878">
        <w:rPr>
          <w:rFonts w:ascii="Arial" w:hAnsi="Arial" w:cs="Arial"/>
          <w:b/>
          <w:sz w:val="24"/>
          <w:szCs w:val="24"/>
        </w:rPr>
        <w:t xml:space="preserve"> Sentencia de la Excma. Corte Suprema </w:t>
      </w:r>
      <w:r>
        <w:rPr>
          <w:rFonts w:ascii="Arial" w:hAnsi="Arial" w:cs="Arial"/>
          <w:b/>
          <w:sz w:val="24"/>
          <w:szCs w:val="24"/>
        </w:rPr>
        <w:t>R</w:t>
      </w:r>
      <w:r w:rsidRPr="001C0878">
        <w:rPr>
          <w:rFonts w:ascii="Arial" w:hAnsi="Arial" w:cs="Arial"/>
          <w:b/>
          <w:sz w:val="24"/>
          <w:szCs w:val="24"/>
        </w:rPr>
        <w:t xml:space="preserve">ol </w:t>
      </w:r>
      <w:proofErr w:type="spellStart"/>
      <w:r w:rsidRPr="001C0878">
        <w:rPr>
          <w:rFonts w:ascii="Arial" w:hAnsi="Arial" w:cs="Arial"/>
          <w:b/>
          <w:sz w:val="24"/>
          <w:szCs w:val="24"/>
        </w:rPr>
        <w:t>N°</w:t>
      </w:r>
      <w:proofErr w:type="spellEnd"/>
      <w:r w:rsidRPr="001C0878">
        <w:rPr>
          <w:rFonts w:ascii="Arial" w:hAnsi="Arial" w:cs="Arial"/>
          <w:b/>
          <w:sz w:val="24"/>
          <w:szCs w:val="24"/>
        </w:rPr>
        <w:t xml:space="preserve"> 34.349-2017</w:t>
      </w:r>
    </w:p>
    <w:p w:rsidR="007E240B" w:rsidRPr="0025466B" w:rsidRDefault="007E240B" w:rsidP="007E240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0"/>
        <w:rPr>
          <w:rStyle w:val="Ninguno"/>
          <w:rFonts w:asciiTheme="minorHAnsi" w:hAnsiTheme="minorHAnsi" w:cstheme="minorHAnsi"/>
          <w:b/>
          <w:bCs/>
          <w:sz w:val="24"/>
          <w:szCs w:val="24"/>
          <w:u w:color="000000"/>
        </w:rPr>
      </w:pPr>
    </w:p>
    <w:p w:rsidR="007E240B" w:rsidRPr="004D35B7" w:rsidRDefault="007E240B" w:rsidP="007E240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Theme="minorHAnsi" w:hAnsiTheme="minorHAnsi" w:cstheme="minorHAnsi"/>
          <w:b/>
          <w:bCs/>
          <w:sz w:val="24"/>
          <w:szCs w:val="24"/>
          <w:u w:color="000000"/>
        </w:rPr>
      </w:pPr>
    </w:p>
    <w:p w:rsidR="007E240B" w:rsidRPr="004D35B7" w:rsidRDefault="007E240B" w:rsidP="007E240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hAnsiTheme="minorHAnsi" w:cstheme="minorHAnsi"/>
          <w:sz w:val="24"/>
          <w:szCs w:val="24"/>
          <w:u w:color="000000"/>
        </w:rPr>
      </w:pPr>
    </w:p>
    <w:p w:rsidR="007E240B" w:rsidRPr="004D35B7" w:rsidRDefault="007E240B" w:rsidP="007E240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hAnsiTheme="minorHAnsi" w:cstheme="minorHAnsi"/>
          <w:sz w:val="24"/>
          <w:szCs w:val="24"/>
          <w:u w:color="000000"/>
        </w:rPr>
      </w:pPr>
    </w:p>
    <w:p w:rsidR="007E240B" w:rsidRDefault="007E240B" w:rsidP="007E240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hAnsiTheme="minorHAnsi" w:cstheme="minorHAnsi"/>
          <w:sz w:val="24"/>
          <w:szCs w:val="24"/>
          <w:u w:color="000000"/>
        </w:rPr>
      </w:pPr>
    </w:p>
    <w:p w:rsidR="007E240B" w:rsidRPr="004D35B7" w:rsidRDefault="007E240B" w:rsidP="007E240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hAnsiTheme="minorHAnsi" w:cstheme="minorHAnsi"/>
          <w:sz w:val="24"/>
          <w:szCs w:val="24"/>
          <w:u w:color="000000"/>
        </w:rPr>
      </w:pPr>
    </w:p>
    <w:p w:rsidR="007E240B" w:rsidRPr="004D35B7" w:rsidRDefault="007E240B" w:rsidP="007E240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hAnsiTheme="minorHAnsi" w:cstheme="minorHAnsi"/>
          <w:sz w:val="24"/>
          <w:szCs w:val="24"/>
          <w:u w:color="000000"/>
        </w:rPr>
      </w:pPr>
    </w:p>
    <w:p w:rsidR="007E240B" w:rsidRPr="004D35B7" w:rsidRDefault="007E240B" w:rsidP="007E240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hAnsiTheme="minorHAnsi" w:cstheme="minorHAnsi"/>
          <w:sz w:val="24"/>
          <w:szCs w:val="24"/>
          <w:u w:color="000000"/>
        </w:rPr>
      </w:pPr>
    </w:p>
    <w:p w:rsidR="007E240B" w:rsidRPr="0042110B" w:rsidRDefault="007E240B" w:rsidP="007E240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u w:color="000000"/>
        </w:rPr>
      </w:pPr>
    </w:p>
    <w:p w:rsidR="007E240B" w:rsidRPr="0042110B" w:rsidRDefault="007E240B" w:rsidP="007E240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u w:color="000000"/>
        </w:rPr>
      </w:pPr>
    </w:p>
    <w:p w:rsidR="007E240B" w:rsidRPr="0042110B" w:rsidRDefault="007E240B" w:rsidP="007E240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u w:color="000000"/>
        </w:rPr>
      </w:pPr>
    </w:p>
    <w:p w:rsidR="007E240B" w:rsidRPr="0042110B" w:rsidRDefault="007E240B" w:rsidP="007E240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u w:color="000000"/>
        </w:rPr>
      </w:pPr>
    </w:p>
    <w:p w:rsidR="007E240B" w:rsidRPr="0042110B" w:rsidRDefault="007E240B" w:rsidP="007E240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u w:color="000000"/>
        </w:rPr>
      </w:pPr>
    </w:p>
    <w:p w:rsidR="007E240B" w:rsidRPr="0042110B" w:rsidRDefault="007E240B" w:rsidP="007E240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u w:color="000000"/>
        </w:rPr>
      </w:pPr>
    </w:p>
    <w:p w:rsidR="007E240B" w:rsidRPr="0042110B" w:rsidRDefault="007E240B" w:rsidP="007E240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4"/>
          <w:szCs w:val="24"/>
          <w:u w:color="000000"/>
        </w:rPr>
      </w:pPr>
    </w:p>
    <w:p w:rsidR="007E240B" w:rsidRPr="0042110B" w:rsidRDefault="007E240B" w:rsidP="007E240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0"/>
        <w:rPr>
          <w:rFonts w:ascii="Arial" w:hAnsi="Arial" w:cs="Arial"/>
          <w:sz w:val="24"/>
          <w:szCs w:val="24"/>
          <w:u w:color="000000"/>
        </w:rPr>
      </w:pPr>
      <w:proofErr w:type="spellStart"/>
      <w:r w:rsidRPr="0042110B">
        <w:rPr>
          <w:rFonts w:ascii="Arial" w:hAnsi="Arial" w:cs="Arial"/>
          <w:sz w:val="24"/>
          <w:szCs w:val="24"/>
          <w:u w:color="000000"/>
        </w:rPr>
        <w:t>Alumn</w:t>
      </w:r>
      <w:proofErr w:type="spellEnd"/>
      <w:r w:rsidRPr="0042110B">
        <w:rPr>
          <w:rFonts w:ascii="Arial" w:hAnsi="Arial" w:cs="Arial"/>
          <w:sz w:val="24"/>
          <w:szCs w:val="24"/>
          <w:u w:color="000000"/>
          <w:lang w:val="es-ES_tradnl"/>
        </w:rPr>
        <w:t>o</w:t>
      </w:r>
      <w:r>
        <w:rPr>
          <w:rFonts w:ascii="Arial" w:hAnsi="Arial" w:cs="Arial"/>
          <w:sz w:val="24"/>
          <w:szCs w:val="24"/>
          <w:u w:color="000000"/>
          <w:lang w:val="es-ES_tradnl"/>
        </w:rPr>
        <w:t>s</w:t>
      </w:r>
    </w:p>
    <w:p w:rsidR="007E240B" w:rsidRDefault="007E240B" w:rsidP="007E240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0"/>
        <w:rPr>
          <w:rFonts w:ascii="Arial" w:hAnsi="Arial" w:cs="Arial"/>
          <w:sz w:val="24"/>
          <w:szCs w:val="24"/>
          <w:u w:color="000000"/>
          <w:lang w:val="es-ES_tradnl"/>
        </w:rPr>
      </w:pPr>
      <w:r w:rsidRPr="0042110B">
        <w:rPr>
          <w:rFonts w:ascii="Arial" w:hAnsi="Arial" w:cs="Arial"/>
          <w:sz w:val="24"/>
          <w:szCs w:val="24"/>
          <w:u w:color="000000"/>
          <w:lang w:val="es-ES_tradnl"/>
        </w:rPr>
        <w:t>Patricio González Silva</w:t>
      </w:r>
    </w:p>
    <w:p w:rsidR="007E240B" w:rsidRDefault="007E240B" w:rsidP="007E240B">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0"/>
        <w:rPr>
          <w:rFonts w:ascii="Arial" w:hAnsi="Arial" w:cs="Arial"/>
          <w:sz w:val="24"/>
          <w:szCs w:val="24"/>
          <w:u w:color="000000"/>
          <w:lang w:val="es-ES_tradnl"/>
        </w:rPr>
      </w:pPr>
      <w:r>
        <w:rPr>
          <w:rFonts w:ascii="Arial" w:hAnsi="Arial" w:cs="Arial"/>
          <w:sz w:val="24"/>
          <w:szCs w:val="24"/>
          <w:u w:color="000000"/>
          <w:lang w:val="es-ES_tradnl"/>
        </w:rPr>
        <w:t>Sergio Stephan Orellana</w:t>
      </w:r>
    </w:p>
    <w:p w:rsidR="008B5D33" w:rsidRDefault="008B5D33"/>
    <w:tbl>
      <w:tblPr>
        <w:tblStyle w:val="Tablaconcuadrcula"/>
        <w:tblW w:w="10323" w:type="dxa"/>
        <w:tblLook w:val="04A0" w:firstRow="1" w:lastRow="0" w:firstColumn="1" w:lastColumn="0" w:noHBand="0" w:noVBand="1"/>
      </w:tblPr>
      <w:tblGrid>
        <w:gridCol w:w="823"/>
        <w:gridCol w:w="2155"/>
        <w:gridCol w:w="7345"/>
      </w:tblGrid>
      <w:tr w:rsidR="000A4573" w:rsidRPr="00DC330C" w:rsidTr="002C00F8">
        <w:trPr>
          <w:trHeight w:val="588"/>
        </w:trPr>
        <w:tc>
          <w:tcPr>
            <w:tcW w:w="823" w:type="dxa"/>
            <w:vAlign w:val="center"/>
          </w:tcPr>
          <w:p w:rsidR="000A4573" w:rsidRPr="00DC330C" w:rsidRDefault="000A4573" w:rsidP="009E0583">
            <w:pPr>
              <w:jc w:val="both"/>
            </w:pPr>
            <w:r w:rsidRPr="00DC330C">
              <w:lastRenderedPageBreak/>
              <w:t>1</w:t>
            </w:r>
          </w:p>
        </w:tc>
        <w:tc>
          <w:tcPr>
            <w:tcW w:w="2155" w:type="dxa"/>
            <w:vAlign w:val="center"/>
          </w:tcPr>
          <w:p w:rsidR="000A4573" w:rsidRPr="00E57CD3" w:rsidRDefault="000A4573" w:rsidP="007E7674">
            <w:pPr>
              <w:jc w:val="both"/>
              <w:rPr>
                <w:b/>
              </w:rPr>
            </w:pPr>
            <w:r w:rsidRPr="00E57CD3">
              <w:rPr>
                <w:b/>
              </w:rPr>
              <w:t>CASO</w:t>
            </w:r>
          </w:p>
        </w:tc>
        <w:tc>
          <w:tcPr>
            <w:tcW w:w="7345" w:type="dxa"/>
            <w:vAlign w:val="center"/>
          </w:tcPr>
          <w:p w:rsidR="000A4573" w:rsidRPr="00DC330C" w:rsidRDefault="00707CAE" w:rsidP="007E7674">
            <w:pPr>
              <w:jc w:val="both"/>
              <w:rPr>
                <w:lang w:eastAsia="es-CL"/>
              </w:rPr>
            </w:pPr>
            <w:r>
              <w:rPr>
                <w:lang w:eastAsia="es-CL"/>
              </w:rPr>
              <w:t>INFRACCIONES: COLHUE</w:t>
            </w:r>
          </w:p>
        </w:tc>
      </w:tr>
      <w:tr w:rsidR="000A4573" w:rsidRPr="00DC330C" w:rsidTr="006D5BCB">
        <w:trPr>
          <w:trHeight w:val="3500"/>
        </w:trPr>
        <w:tc>
          <w:tcPr>
            <w:tcW w:w="823" w:type="dxa"/>
            <w:vAlign w:val="center"/>
          </w:tcPr>
          <w:p w:rsidR="000A4573" w:rsidRPr="00DC330C" w:rsidRDefault="000A4573" w:rsidP="009E0583">
            <w:pPr>
              <w:jc w:val="both"/>
            </w:pPr>
            <w:r w:rsidRPr="00DC330C">
              <w:t>2</w:t>
            </w:r>
          </w:p>
        </w:tc>
        <w:tc>
          <w:tcPr>
            <w:tcW w:w="2155" w:type="dxa"/>
            <w:vAlign w:val="center"/>
          </w:tcPr>
          <w:p w:rsidR="000A4573" w:rsidRPr="00E57CD3" w:rsidRDefault="000A4573" w:rsidP="009E0583">
            <w:pPr>
              <w:jc w:val="both"/>
              <w:rPr>
                <w:b/>
              </w:rPr>
            </w:pPr>
            <w:r w:rsidRPr="00E57CD3">
              <w:rPr>
                <w:b/>
              </w:rPr>
              <w:t>PREGUNTA JURÍDICA DEL CASO</w:t>
            </w:r>
          </w:p>
        </w:tc>
        <w:tc>
          <w:tcPr>
            <w:tcW w:w="7345" w:type="dxa"/>
            <w:vAlign w:val="center"/>
          </w:tcPr>
          <w:p w:rsidR="000A4573" w:rsidRPr="00B955C1" w:rsidRDefault="00B955C1" w:rsidP="009E0583">
            <w:pPr>
              <w:pStyle w:val="Prrafodelista"/>
              <w:numPr>
                <w:ilvl w:val="0"/>
                <w:numId w:val="1"/>
              </w:numPr>
              <w:ind w:left="169" w:hanging="234"/>
              <w:jc w:val="both"/>
              <w:rPr>
                <w:bCs/>
                <w:lang w:eastAsia="es-CL"/>
              </w:rPr>
            </w:pPr>
            <w:r>
              <w:rPr>
                <w:bCs/>
                <w:lang w:eastAsia="es-CL"/>
              </w:rPr>
              <w:t>¿</w:t>
            </w:r>
            <w:r w:rsidR="00483901">
              <w:rPr>
                <w:bCs/>
                <w:lang w:eastAsia="es-CL"/>
              </w:rPr>
              <w:t>La d</w:t>
            </w:r>
            <w:r w:rsidRPr="00DC330C">
              <w:rPr>
                <w:bCs/>
                <w:lang w:eastAsia="es-CL"/>
              </w:rPr>
              <w:t>eclaración de inaplicabilidad de</w:t>
            </w:r>
            <w:r w:rsidR="00483901">
              <w:rPr>
                <w:bCs/>
                <w:lang w:eastAsia="es-CL"/>
              </w:rPr>
              <w:t>l</w:t>
            </w:r>
            <w:r w:rsidRPr="00DC330C">
              <w:rPr>
                <w:bCs/>
                <w:lang w:eastAsia="es-CL"/>
              </w:rPr>
              <w:t xml:space="preserve"> régimen sancionatorio</w:t>
            </w:r>
            <w:r w:rsidR="00483901">
              <w:rPr>
                <w:bCs/>
                <w:lang w:eastAsia="es-CL"/>
              </w:rPr>
              <w:t xml:space="preserve"> de la</w:t>
            </w:r>
            <w:r w:rsidR="008A382D">
              <w:rPr>
                <w:bCs/>
                <w:lang w:eastAsia="es-CL"/>
              </w:rPr>
              <w:t xml:space="preserve"> </w:t>
            </w:r>
            <w:r>
              <w:rPr>
                <w:bCs/>
                <w:lang w:eastAsia="es-CL"/>
              </w:rPr>
              <w:t>L</w:t>
            </w:r>
            <w:r w:rsidRPr="00DC330C">
              <w:rPr>
                <w:bCs/>
                <w:lang w:eastAsia="es-CL"/>
              </w:rPr>
              <w:t>ey</w:t>
            </w:r>
            <w:r>
              <w:rPr>
                <w:bCs/>
                <w:lang w:eastAsia="es-CL"/>
              </w:rPr>
              <w:t xml:space="preserve"> </w:t>
            </w:r>
            <w:proofErr w:type="spellStart"/>
            <w:r>
              <w:rPr>
                <w:bCs/>
                <w:lang w:eastAsia="es-CL"/>
              </w:rPr>
              <w:t>Nº</w:t>
            </w:r>
            <w:proofErr w:type="spellEnd"/>
            <w:r w:rsidRPr="00DC330C">
              <w:rPr>
                <w:bCs/>
                <w:lang w:eastAsia="es-CL"/>
              </w:rPr>
              <w:t xml:space="preserve"> 20</w:t>
            </w:r>
            <w:r>
              <w:rPr>
                <w:bCs/>
                <w:lang w:eastAsia="es-CL"/>
              </w:rPr>
              <w:t>.</w:t>
            </w:r>
            <w:r w:rsidRPr="00DC330C">
              <w:rPr>
                <w:bCs/>
                <w:lang w:eastAsia="es-CL"/>
              </w:rPr>
              <w:t>473 hace revivir vigencia de aquel contemplado en</w:t>
            </w:r>
            <w:r w:rsidR="00483901">
              <w:rPr>
                <w:bCs/>
                <w:lang w:eastAsia="es-CL"/>
              </w:rPr>
              <w:t xml:space="preserve"> la</w:t>
            </w:r>
            <w:r w:rsidRPr="00DC330C">
              <w:rPr>
                <w:bCs/>
                <w:lang w:eastAsia="es-CL"/>
              </w:rPr>
              <w:t xml:space="preserve"> redacción primitiva de artículo 64</w:t>
            </w:r>
            <w:r w:rsidR="00483901">
              <w:rPr>
                <w:bCs/>
                <w:lang w:eastAsia="es-CL"/>
              </w:rPr>
              <w:t xml:space="preserve"> de la</w:t>
            </w:r>
            <w:r w:rsidR="008A382D">
              <w:rPr>
                <w:bCs/>
                <w:lang w:eastAsia="es-CL"/>
              </w:rPr>
              <w:t xml:space="preserve"> </w:t>
            </w:r>
            <w:r>
              <w:rPr>
                <w:bCs/>
                <w:lang w:eastAsia="es-CL"/>
              </w:rPr>
              <w:t>L</w:t>
            </w:r>
            <w:r w:rsidRPr="00DC330C">
              <w:rPr>
                <w:bCs/>
                <w:lang w:eastAsia="es-CL"/>
              </w:rPr>
              <w:t>ey</w:t>
            </w:r>
            <w:r>
              <w:rPr>
                <w:bCs/>
                <w:lang w:eastAsia="es-CL"/>
              </w:rPr>
              <w:t xml:space="preserve"> </w:t>
            </w:r>
            <w:proofErr w:type="spellStart"/>
            <w:r>
              <w:rPr>
                <w:bCs/>
                <w:lang w:eastAsia="es-CL"/>
              </w:rPr>
              <w:t>Nº</w:t>
            </w:r>
            <w:proofErr w:type="spellEnd"/>
            <w:r>
              <w:rPr>
                <w:bCs/>
                <w:lang w:eastAsia="es-CL"/>
              </w:rPr>
              <w:t xml:space="preserve"> </w:t>
            </w:r>
            <w:r w:rsidR="00DC330C" w:rsidRPr="00DC330C">
              <w:rPr>
                <w:bCs/>
                <w:lang w:eastAsia="es-CL"/>
              </w:rPr>
              <w:t>19.300?</w:t>
            </w:r>
          </w:p>
          <w:p w:rsidR="000A4573" w:rsidRPr="00B955C1" w:rsidRDefault="00B955C1" w:rsidP="009E0583">
            <w:pPr>
              <w:pStyle w:val="Prrafodelista"/>
              <w:numPr>
                <w:ilvl w:val="0"/>
                <w:numId w:val="1"/>
              </w:numPr>
              <w:ind w:left="169" w:hanging="234"/>
              <w:jc w:val="both"/>
              <w:rPr>
                <w:bCs/>
                <w:lang w:eastAsia="es-CL"/>
              </w:rPr>
            </w:pPr>
            <w:r>
              <w:rPr>
                <w:bCs/>
                <w:lang w:eastAsia="es-CL"/>
              </w:rPr>
              <w:t>¿</w:t>
            </w:r>
            <w:r w:rsidR="00483901">
              <w:rPr>
                <w:bCs/>
                <w:lang w:eastAsia="es-CL"/>
              </w:rPr>
              <w:t>El i</w:t>
            </w:r>
            <w:r w:rsidRPr="00DC330C">
              <w:rPr>
                <w:bCs/>
                <w:lang w:eastAsia="es-CL"/>
              </w:rPr>
              <w:t xml:space="preserve">ncumplimiento de </w:t>
            </w:r>
            <w:r>
              <w:rPr>
                <w:bCs/>
                <w:lang w:eastAsia="es-CL"/>
              </w:rPr>
              <w:t xml:space="preserve">medidas y </w:t>
            </w:r>
            <w:r w:rsidRPr="00DC330C">
              <w:rPr>
                <w:bCs/>
                <w:lang w:eastAsia="es-CL"/>
              </w:rPr>
              <w:t>condiciones</w:t>
            </w:r>
            <w:r>
              <w:rPr>
                <w:bCs/>
                <w:lang w:eastAsia="es-CL"/>
              </w:rPr>
              <w:t xml:space="preserve"> de un</w:t>
            </w:r>
            <w:r w:rsidRPr="00DC330C">
              <w:rPr>
                <w:bCs/>
                <w:lang w:eastAsia="es-CL"/>
              </w:rPr>
              <w:t xml:space="preserve"> proyecto</w:t>
            </w:r>
            <w:r w:rsidR="001E105C">
              <w:rPr>
                <w:bCs/>
                <w:lang w:eastAsia="es-CL"/>
              </w:rPr>
              <w:t>,</w:t>
            </w:r>
            <w:r w:rsidRPr="00DC330C">
              <w:rPr>
                <w:bCs/>
                <w:lang w:eastAsia="es-CL"/>
              </w:rPr>
              <w:t xml:space="preserve"> establecidas en resolución de calificación ambiental (</w:t>
            </w:r>
            <w:r w:rsidR="00483901" w:rsidRPr="00DC330C">
              <w:rPr>
                <w:bCs/>
                <w:lang w:eastAsia="es-CL"/>
              </w:rPr>
              <w:t>RCA</w:t>
            </w:r>
            <w:r w:rsidRPr="00DC330C">
              <w:rPr>
                <w:bCs/>
                <w:lang w:eastAsia="es-CL"/>
              </w:rPr>
              <w:t>)</w:t>
            </w:r>
            <w:r w:rsidR="001E105C">
              <w:rPr>
                <w:bCs/>
                <w:lang w:eastAsia="es-CL"/>
              </w:rPr>
              <w:t xml:space="preserve"> aprobada con anterioridad a la vigencia de Ley 20.417 y, que se pronuncia sobre una de</w:t>
            </w:r>
            <w:r w:rsidRPr="00DC330C">
              <w:rPr>
                <w:bCs/>
                <w:lang w:eastAsia="es-CL"/>
              </w:rPr>
              <w:t>claración de impacto ambiental (</w:t>
            </w:r>
            <w:r w:rsidR="00483901" w:rsidRPr="00DC330C">
              <w:rPr>
                <w:bCs/>
                <w:lang w:eastAsia="es-CL"/>
              </w:rPr>
              <w:t>DIA</w:t>
            </w:r>
            <w:r w:rsidRPr="00DC330C">
              <w:rPr>
                <w:bCs/>
                <w:lang w:eastAsia="es-CL"/>
              </w:rPr>
              <w:t>)</w:t>
            </w:r>
            <w:r w:rsidR="001E105C">
              <w:rPr>
                <w:bCs/>
                <w:lang w:eastAsia="es-CL"/>
              </w:rPr>
              <w:t>,</w:t>
            </w:r>
            <w:r w:rsidRPr="00DC330C">
              <w:rPr>
                <w:bCs/>
                <w:lang w:eastAsia="es-CL"/>
              </w:rPr>
              <w:t xml:space="preserve"> es constitutivo de infracción</w:t>
            </w:r>
            <w:r w:rsidR="00DC330C" w:rsidRPr="00DC330C">
              <w:rPr>
                <w:bCs/>
                <w:lang w:eastAsia="es-CL"/>
              </w:rPr>
              <w:t>?</w:t>
            </w:r>
          </w:p>
          <w:p w:rsidR="009E0583" w:rsidRPr="006D5BCB" w:rsidRDefault="00B955C1" w:rsidP="009E0583">
            <w:pPr>
              <w:pStyle w:val="Prrafodelista"/>
              <w:numPr>
                <w:ilvl w:val="0"/>
                <w:numId w:val="1"/>
              </w:numPr>
              <w:ind w:left="169" w:hanging="234"/>
              <w:jc w:val="both"/>
              <w:rPr>
                <w:bCs/>
                <w:lang w:eastAsia="es-CL"/>
              </w:rPr>
            </w:pPr>
            <w:r w:rsidRPr="00DC330C">
              <w:rPr>
                <w:bCs/>
                <w:lang w:eastAsia="es-CL"/>
              </w:rPr>
              <w:t>Habiendo pluralidad de infracciones en un proceso</w:t>
            </w:r>
            <w:r w:rsidR="001E105C">
              <w:rPr>
                <w:bCs/>
                <w:lang w:eastAsia="es-CL"/>
              </w:rPr>
              <w:t>; ¿S</w:t>
            </w:r>
            <w:r w:rsidRPr="00DC330C">
              <w:rPr>
                <w:bCs/>
                <w:lang w:eastAsia="es-CL"/>
              </w:rPr>
              <w:t xml:space="preserve">e puede sancionar por cada infracción o se aplica una </w:t>
            </w:r>
            <w:r w:rsidR="001E105C">
              <w:rPr>
                <w:bCs/>
                <w:lang w:eastAsia="es-CL"/>
              </w:rPr>
              <w:t xml:space="preserve">sola </w:t>
            </w:r>
            <w:r w:rsidRPr="00DC330C">
              <w:rPr>
                <w:bCs/>
                <w:lang w:eastAsia="es-CL"/>
              </w:rPr>
              <w:t>sanción de la misma clase</w:t>
            </w:r>
            <w:r w:rsidR="001E105C">
              <w:rPr>
                <w:bCs/>
                <w:lang w:eastAsia="es-CL"/>
              </w:rPr>
              <w:t xml:space="preserve"> para todas ellas</w:t>
            </w:r>
            <w:r w:rsidRPr="00DC330C">
              <w:rPr>
                <w:bCs/>
                <w:lang w:eastAsia="es-CL"/>
              </w:rPr>
              <w:t>?</w:t>
            </w:r>
          </w:p>
        </w:tc>
      </w:tr>
      <w:tr w:rsidR="000A4573" w:rsidRPr="00DC330C" w:rsidTr="002C00F8">
        <w:trPr>
          <w:trHeight w:val="829"/>
        </w:trPr>
        <w:tc>
          <w:tcPr>
            <w:tcW w:w="823" w:type="dxa"/>
          </w:tcPr>
          <w:p w:rsidR="009E0583" w:rsidRDefault="009E0583" w:rsidP="000A4573"/>
          <w:p w:rsidR="000A4573" w:rsidRDefault="000A4573" w:rsidP="000A4573">
            <w:r w:rsidRPr="00DC330C">
              <w:t>3</w:t>
            </w:r>
          </w:p>
          <w:p w:rsidR="009E0583" w:rsidRPr="00DC330C" w:rsidRDefault="009E0583" w:rsidP="000A4573"/>
        </w:tc>
        <w:tc>
          <w:tcPr>
            <w:tcW w:w="2155" w:type="dxa"/>
          </w:tcPr>
          <w:p w:rsidR="009E0583" w:rsidRDefault="009E0583" w:rsidP="000A4573">
            <w:pPr>
              <w:rPr>
                <w:b/>
              </w:rPr>
            </w:pPr>
          </w:p>
          <w:p w:rsidR="000A4573" w:rsidRPr="00E57CD3" w:rsidRDefault="000A4573" w:rsidP="000A4573">
            <w:pPr>
              <w:rPr>
                <w:b/>
              </w:rPr>
            </w:pPr>
            <w:r w:rsidRPr="00E57CD3">
              <w:rPr>
                <w:b/>
              </w:rPr>
              <w:t>MATERIA</w:t>
            </w:r>
          </w:p>
        </w:tc>
        <w:tc>
          <w:tcPr>
            <w:tcW w:w="7345" w:type="dxa"/>
          </w:tcPr>
          <w:p w:rsidR="009E0583" w:rsidRDefault="009E0583" w:rsidP="000A4573">
            <w:pPr>
              <w:jc w:val="both"/>
              <w:rPr>
                <w:lang w:eastAsia="es-CL"/>
              </w:rPr>
            </w:pPr>
          </w:p>
          <w:p w:rsidR="000A4573" w:rsidRPr="00DC330C" w:rsidRDefault="001E105C" w:rsidP="000A4573">
            <w:pPr>
              <w:jc w:val="both"/>
              <w:rPr>
                <w:lang w:eastAsia="es-CL"/>
              </w:rPr>
            </w:pPr>
            <w:r>
              <w:rPr>
                <w:lang w:eastAsia="es-CL"/>
              </w:rPr>
              <w:t xml:space="preserve">RECURSO DE CASACIÓN EN LA FORMA </w:t>
            </w:r>
            <w:proofErr w:type="gramStart"/>
            <w:r>
              <w:rPr>
                <w:lang w:eastAsia="es-CL"/>
              </w:rPr>
              <w:t xml:space="preserve">Y </w:t>
            </w:r>
            <w:r w:rsidR="00707CAE">
              <w:rPr>
                <w:lang w:eastAsia="es-CL"/>
              </w:rPr>
              <w:t xml:space="preserve"> FONDO</w:t>
            </w:r>
            <w:proofErr w:type="gramEnd"/>
          </w:p>
        </w:tc>
      </w:tr>
      <w:tr w:rsidR="000A4573" w:rsidRPr="00DC330C" w:rsidTr="002C00F8">
        <w:trPr>
          <w:trHeight w:val="829"/>
        </w:trPr>
        <w:tc>
          <w:tcPr>
            <w:tcW w:w="823" w:type="dxa"/>
          </w:tcPr>
          <w:p w:rsidR="009E0583" w:rsidRDefault="009E0583" w:rsidP="000A4573"/>
          <w:p w:rsidR="000A4573" w:rsidRDefault="000A4573" w:rsidP="000A4573">
            <w:r w:rsidRPr="00DC330C">
              <w:t>4</w:t>
            </w:r>
          </w:p>
          <w:p w:rsidR="009E0583" w:rsidRPr="00DC330C" w:rsidRDefault="009E0583" w:rsidP="000A4573"/>
        </w:tc>
        <w:tc>
          <w:tcPr>
            <w:tcW w:w="2155" w:type="dxa"/>
          </w:tcPr>
          <w:p w:rsidR="009E0583" w:rsidRDefault="009E0583" w:rsidP="000A4573">
            <w:pPr>
              <w:rPr>
                <w:b/>
              </w:rPr>
            </w:pPr>
          </w:p>
          <w:p w:rsidR="000A4573" w:rsidRPr="00E57CD3" w:rsidRDefault="000A4573" w:rsidP="000A4573">
            <w:pPr>
              <w:rPr>
                <w:b/>
              </w:rPr>
            </w:pPr>
            <w:r w:rsidRPr="00E57CD3">
              <w:rPr>
                <w:b/>
              </w:rPr>
              <w:t>ROL:</w:t>
            </w:r>
          </w:p>
        </w:tc>
        <w:tc>
          <w:tcPr>
            <w:tcW w:w="7345" w:type="dxa"/>
          </w:tcPr>
          <w:p w:rsidR="009E0583" w:rsidRDefault="009E0583" w:rsidP="000A4573">
            <w:pPr>
              <w:jc w:val="both"/>
              <w:rPr>
                <w:lang w:eastAsia="es-CL"/>
              </w:rPr>
            </w:pPr>
          </w:p>
          <w:p w:rsidR="000A4573" w:rsidRPr="00DC330C" w:rsidRDefault="00DC330C" w:rsidP="000A4573">
            <w:pPr>
              <w:jc w:val="both"/>
              <w:rPr>
                <w:lang w:eastAsia="es-CL"/>
              </w:rPr>
            </w:pPr>
            <w:r w:rsidRPr="00DC330C">
              <w:rPr>
                <w:lang w:eastAsia="es-CL"/>
              </w:rPr>
              <w:t>34349-2017</w:t>
            </w:r>
          </w:p>
        </w:tc>
      </w:tr>
      <w:tr w:rsidR="000A4573" w:rsidRPr="00DC330C" w:rsidTr="002C00F8">
        <w:trPr>
          <w:trHeight w:val="829"/>
        </w:trPr>
        <w:tc>
          <w:tcPr>
            <w:tcW w:w="823" w:type="dxa"/>
          </w:tcPr>
          <w:p w:rsidR="009E0583" w:rsidRDefault="009E0583" w:rsidP="000A4573"/>
          <w:p w:rsidR="000A4573" w:rsidRPr="00DC330C" w:rsidRDefault="000A4573" w:rsidP="000A4573">
            <w:r w:rsidRPr="00DC330C">
              <w:t>5</w:t>
            </w:r>
          </w:p>
        </w:tc>
        <w:tc>
          <w:tcPr>
            <w:tcW w:w="2155" w:type="dxa"/>
          </w:tcPr>
          <w:p w:rsidR="009E0583" w:rsidRDefault="009E0583" w:rsidP="000A4573">
            <w:pPr>
              <w:rPr>
                <w:b/>
              </w:rPr>
            </w:pPr>
          </w:p>
          <w:p w:rsidR="000A4573" w:rsidRDefault="000A4573" w:rsidP="000A4573">
            <w:pPr>
              <w:rPr>
                <w:b/>
              </w:rPr>
            </w:pPr>
            <w:r w:rsidRPr="00E57CD3">
              <w:rPr>
                <w:b/>
              </w:rPr>
              <w:t>RECURRENTE:</w:t>
            </w:r>
          </w:p>
          <w:p w:rsidR="009E0583" w:rsidRPr="00E57CD3" w:rsidRDefault="009E0583" w:rsidP="000A4573">
            <w:pPr>
              <w:rPr>
                <w:b/>
              </w:rPr>
            </w:pPr>
          </w:p>
        </w:tc>
        <w:tc>
          <w:tcPr>
            <w:tcW w:w="7345" w:type="dxa"/>
            <w:vAlign w:val="center"/>
          </w:tcPr>
          <w:p w:rsidR="009E0583" w:rsidRPr="00DC330C" w:rsidRDefault="00DC330C" w:rsidP="009E0583">
            <w:pPr>
              <w:jc w:val="both"/>
              <w:rPr>
                <w:lang w:eastAsia="es-CL"/>
              </w:rPr>
            </w:pPr>
            <w:r w:rsidRPr="00DC330C">
              <w:rPr>
                <w:lang w:eastAsia="es-CL"/>
              </w:rPr>
              <w:t>COMISIÓN DE EVALUACIÓN AMBIENTAL REGIÓN DEL LIBERTADOR GENERAL BERNARDO O</w:t>
            </w:r>
            <w:r w:rsidR="007E7674">
              <w:rPr>
                <w:lang w:eastAsia="es-CL"/>
              </w:rPr>
              <w:t>’</w:t>
            </w:r>
            <w:r w:rsidRPr="00DC330C">
              <w:rPr>
                <w:lang w:eastAsia="es-CL"/>
              </w:rPr>
              <w:t>HIGGINS</w:t>
            </w:r>
          </w:p>
        </w:tc>
      </w:tr>
      <w:tr w:rsidR="000A4573" w:rsidRPr="00DC330C" w:rsidTr="002C00F8">
        <w:trPr>
          <w:trHeight w:val="829"/>
        </w:trPr>
        <w:tc>
          <w:tcPr>
            <w:tcW w:w="823" w:type="dxa"/>
          </w:tcPr>
          <w:p w:rsidR="009E0583" w:rsidRDefault="009E0583" w:rsidP="000A4573"/>
          <w:p w:rsidR="000A4573" w:rsidRDefault="000A4573" w:rsidP="000A4573">
            <w:r w:rsidRPr="00DC330C">
              <w:t>6</w:t>
            </w:r>
          </w:p>
          <w:p w:rsidR="009E0583" w:rsidRPr="00DC330C" w:rsidRDefault="009E0583" w:rsidP="000A4573"/>
        </w:tc>
        <w:tc>
          <w:tcPr>
            <w:tcW w:w="2155" w:type="dxa"/>
          </w:tcPr>
          <w:p w:rsidR="009E0583" w:rsidRDefault="009E0583" w:rsidP="000A4573">
            <w:pPr>
              <w:rPr>
                <w:b/>
              </w:rPr>
            </w:pPr>
          </w:p>
          <w:p w:rsidR="000A4573" w:rsidRPr="00E57CD3" w:rsidRDefault="000A4573" w:rsidP="000A4573">
            <w:pPr>
              <w:rPr>
                <w:b/>
              </w:rPr>
            </w:pPr>
            <w:r w:rsidRPr="00E57CD3">
              <w:rPr>
                <w:b/>
              </w:rPr>
              <w:t>RECURRIDO:</w:t>
            </w:r>
          </w:p>
        </w:tc>
        <w:tc>
          <w:tcPr>
            <w:tcW w:w="7345" w:type="dxa"/>
          </w:tcPr>
          <w:p w:rsidR="009E0583" w:rsidRDefault="009E0583" w:rsidP="000A4573">
            <w:pPr>
              <w:jc w:val="both"/>
              <w:rPr>
                <w:bCs/>
                <w:lang w:eastAsia="es-CL"/>
              </w:rPr>
            </w:pPr>
          </w:p>
          <w:p w:rsidR="000A4573" w:rsidRPr="00E11EB6" w:rsidRDefault="00DC330C" w:rsidP="000A4573">
            <w:pPr>
              <w:jc w:val="both"/>
              <w:rPr>
                <w:lang w:eastAsia="es-CL"/>
              </w:rPr>
            </w:pPr>
            <w:r w:rsidRPr="00E11EB6">
              <w:rPr>
                <w:bCs/>
                <w:lang w:eastAsia="es-CL"/>
              </w:rPr>
              <w:t>CENTRO DE MANEJO DE RESIDUOS ORGÁNICOS COLHUE S.A</w:t>
            </w:r>
            <w:r w:rsidR="008A382D">
              <w:rPr>
                <w:bCs/>
                <w:lang w:eastAsia="es-CL"/>
              </w:rPr>
              <w:t>.</w:t>
            </w:r>
          </w:p>
        </w:tc>
      </w:tr>
      <w:tr w:rsidR="000A4573" w:rsidRPr="00DC330C" w:rsidTr="002C00F8">
        <w:trPr>
          <w:trHeight w:val="1382"/>
        </w:trPr>
        <w:tc>
          <w:tcPr>
            <w:tcW w:w="823" w:type="dxa"/>
          </w:tcPr>
          <w:p w:rsidR="009E0583" w:rsidRDefault="009E0583" w:rsidP="000A4573"/>
          <w:p w:rsidR="009E0583" w:rsidRDefault="009E0583" w:rsidP="000A4573"/>
          <w:p w:rsidR="000A4573" w:rsidRPr="00DC330C" w:rsidRDefault="000A4573" w:rsidP="000A4573">
            <w:r w:rsidRPr="00DC330C">
              <w:t>7</w:t>
            </w:r>
          </w:p>
        </w:tc>
        <w:tc>
          <w:tcPr>
            <w:tcW w:w="2155" w:type="dxa"/>
          </w:tcPr>
          <w:p w:rsidR="009E0583" w:rsidRDefault="009E0583" w:rsidP="000A4573">
            <w:pPr>
              <w:rPr>
                <w:b/>
              </w:rPr>
            </w:pPr>
          </w:p>
          <w:p w:rsidR="009E0583" w:rsidRDefault="009E0583" w:rsidP="000A4573">
            <w:pPr>
              <w:rPr>
                <w:b/>
              </w:rPr>
            </w:pPr>
          </w:p>
          <w:p w:rsidR="000A4573" w:rsidRPr="00E57CD3" w:rsidRDefault="000A4573" w:rsidP="000A4573">
            <w:pPr>
              <w:rPr>
                <w:b/>
              </w:rPr>
            </w:pPr>
            <w:r w:rsidRPr="00E57CD3">
              <w:rPr>
                <w:b/>
              </w:rPr>
              <w:t>INTEGRACIÓN:</w:t>
            </w:r>
          </w:p>
        </w:tc>
        <w:tc>
          <w:tcPr>
            <w:tcW w:w="7345" w:type="dxa"/>
            <w:vAlign w:val="center"/>
          </w:tcPr>
          <w:p w:rsidR="009E0583" w:rsidRDefault="009E0583" w:rsidP="009E0583">
            <w:pPr>
              <w:jc w:val="both"/>
              <w:rPr>
                <w:rFonts w:eastAsia="Times New Roman" w:cs="Times New Roman"/>
                <w:lang w:eastAsia="es-CL"/>
              </w:rPr>
            </w:pPr>
          </w:p>
          <w:p w:rsidR="000A4573" w:rsidRDefault="007E7674" w:rsidP="009E0583">
            <w:pPr>
              <w:jc w:val="both"/>
              <w:rPr>
                <w:rFonts w:eastAsia="Times New Roman" w:cs="Times New Roman"/>
                <w:lang w:eastAsia="es-CL"/>
              </w:rPr>
            </w:pPr>
            <w:r w:rsidRPr="00DC330C">
              <w:rPr>
                <w:rFonts w:eastAsia="Times New Roman" w:cs="Times New Roman"/>
                <w:lang w:eastAsia="es-CL"/>
              </w:rPr>
              <w:t>Ministros</w:t>
            </w:r>
            <w:r w:rsidR="00483901">
              <w:rPr>
                <w:rFonts w:eastAsia="Times New Roman" w:cs="Times New Roman"/>
                <w:lang w:eastAsia="es-CL"/>
              </w:rPr>
              <w:t>:</w:t>
            </w:r>
            <w:r w:rsidR="008A382D">
              <w:rPr>
                <w:rFonts w:eastAsia="Times New Roman" w:cs="Times New Roman"/>
                <w:lang w:eastAsia="es-CL"/>
              </w:rPr>
              <w:t xml:space="preserve"> </w:t>
            </w:r>
            <w:r w:rsidRPr="00DC330C">
              <w:rPr>
                <w:rFonts w:eastAsia="Times New Roman" w:cs="Times New Roman"/>
                <w:lang w:eastAsia="es-CL"/>
              </w:rPr>
              <w:t xml:space="preserve">Sr. Sergio Muñoz Gajardo, Sra. Rosa Del Carmen </w:t>
            </w:r>
            <w:proofErr w:type="spellStart"/>
            <w:r w:rsidRPr="00DC330C">
              <w:rPr>
                <w:rFonts w:eastAsia="Times New Roman" w:cs="Times New Roman"/>
                <w:lang w:eastAsia="es-CL"/>
              </w:rPr>
              <w:t>Egnem</w:t>
            </w:r>
            <w:proofErr w:type="spellEnd"/>
            <w:r w:rsidRPr="00DC330C">
              <w:rPr>
                <w:rFonts w:eastAsia="Times New Roman" w:cs="Times New Roman"/>
                <w:lang w:eastAsia="es-CL"/>
              </w:rPr>
              <w:t xml:space="preserve"> S.,</w:t>
            </w:r>
            <w:r w:rsidR="008A382D">
              <w:rPr>
                <w:rFonts w:eastAsia="Times New Roman" w:cs="Times New Roman"/>
                <w:lang w:eastAsia="es-CL"/>
              </w:rPr>
              <w:t xml:space="preserve"> Sra. María Eugenia Sandoval G.</w:t>
            </w:r>
            <w:r w:rsidRPr="00DC330C">
              <w:rPr>
                <w:rFonts w:eastAsia="Times New Roman" w:cs="Times New Roman"/>
                <w:lang w:eastAsia="es-CL"/>
              </w:rPr>
              <w:t xml:space="preserve">, Sr. Arturo Prado Puga </w:t>
            </w:r>
            <w:r>
              <w:rPr>
                <w:rFonts w:eastAsia="Times New Roman" w:cs="Times New Roman"/>
                <w:lang w:eastAsia="es-CL"/>
              </w:rPr>
              <w:t>y</w:t>
            </w:r>
            <w:r w:rsidRPr="00DC330C">
              <w:rPr>
                <w:rFonts w:eastAsia="Times New Roman" w:cs="Times New Roman"/>
                <w:lang w:eastAsia="es-CL"/>
              </w:rPr>
              <w:t xml:space="preserve"> Abogado Integrante Sr. Jorge Lagos G. (Tercera Sala)</w:t>
            </w:r>
          </w:p>
          <w:p w:rsidR="009E0583" w:rsidRPr="00DC330C" w:rsidRDefault="009E0583" w:rsidP="009E0583">
            <w:pPr>
              <w:jc w:val="both"/>
              <w:rPr>
                <w:lang w:eastAsia="es-CL"/>
              </w:rPr>
            </w:pPr>
          </w:p>
        </w:tc>
      </w:tr>
      <w:tr w:rsidR="000A4573" w:rsidRPr="00DC330C" w:rsidTr="002C00F8">
        <w:trPr>
          <w:trHeight w:val="829"/>
        </w:trPr>
        <w:tc>
          <w:tcPr>
            <w:tcW w:w="823" w:type="dxa"/>
          </w:tcPr>
          <w:p w:rsidR="009E0583" w:rsidRDefault="009E0583" w:rsidP="000A4573"/>
          <w:p w:rsidR="000A4573" w:rsidRDefault="000A4573" w:rsidP="000A4573">
            <w:r w:rsidRPr="00DC330C">
              <w:t>8</w:t>
            </w:r>
          </w:p>
          <w:p w:rsidR="009E0583" w:rsidRPr="00DC330C" w:rsidRDefault="009E0583" w:rsidP="000A4573"/>
        </w:tc>
        <w:tc>
          <w:tcPr>
            <w:tcW w:w="2155" w:type="dxa"/>
          </w:tcPr>
          <w:p w:rsidR="009E0583" w:rsidRDefault="009E0583" w:rsidP="000A4573">
            <w:pPr>
              <w:rPr>
                <w:b/>
              </w:rPr>
            </w:pPr>
          </w:p>
          <w:p w:rsidR="000A4573" w:rsidRPr="00E57CD3" w:rsidRDefault="000A4573" w:rsidP="000A4573">
            <w:pPr>
              <w:rPr>
                <w:b/>
              </w:rPr>
            </w:pPr>
            <w:r w:rsidRPr="00E57CD3">
              <w:rPr>
                <w:b/>
              </w:rPr>
              <w:t>REDACCIÓN:</w:t>
            </w:r>
          </w:p>
        </w:tc>
        <w:tc>
          <w:tcPr>
            <w:tcW w:w="7345" w:type="dxa"/>
          </w:tcPr>
          <w:p w:rsidR="009E0583" w:rsidRDefault="009E0583" w:rsidP="000A4573">
            <w:pPr>
              <w:jc w:val="both"/>
              <w:rPr>
                <w:rFonts w:eastAsia="Times New Roman" w:cs="Times New Roman"/>
                <w:lang w:eastAsia="es-CL"/>
              </w:rPr>
            </w:pPr>
          </w:p>
          <w:p w:rsidR="000A4573" w:rsidRPr="00DC330C" w:rsidRDefault="00DB2450" w:rsidP="000A4573">
            <w:pPr>
              <w:jc w:val="both"/>
              <w:rPr>
                <w:lang w:eastAsia="es-CL"/>
              </w:rPr>
            </w:pPr>
            <w:r>
              <w:rPr>
                <w:rFonts w:eastAsia="Times New Roman" w:cs="Times New Roman"/>
                <w:lang w:eastAsia="es-CL"/>
              </w:rPr>
              <w:t xml:space="preserve">Ministra Sra. </w:t>
            </w:r>
            <w:proofErr w:type="spellStart"/>
            <w:r>
              <w:rPr>
                <w:rFonts w:eastAsia="Times New Roman" w:cs="Times New Roman"/>
                <w:lang w:eastAsia="es-CL"/>
              </w:rPr>
              <w:t>Egnem</w:t>
            </w:r>
            <w:proofErr w:type="spellEnd"/>
            <w:r>
              <w:rPr>
                <w:rFonts w:eastAsia="Times New Roman" w:cs="Times New Roman"/>
                <w:lang w:eastAsia="es-CL"/>
              </w:rPr>
              <w:t xml:space="preserve"> y Disidencia, sus a</w:t>
            </w:r>
            <w:r w:rsidR="007E7674" w:rsidRPr="00DC330C">
              <w:rPr>
                <w:rFonts w:eastAsia="Times New Roman" w:cs="Times New Roman"/>
                <w:lang w:eastAsia="es-CL"/>
              </w:rPr>
              <w:t>utores</w:t>
            </w:r>
          </w:p>
        </w:tc>
      </w:tr>
      <w:tr w:rsidR="000A4573" w:rsidRPr="00DC330C" w:rsidTr="002C00F8">
        <w:trPr>
          <w:trHeight w:val="829"/>
        </w:trPr>
        <w:tc>
          <w:tcPr>
            <w:tcW w:w="823" w:type="dxa"/>
          </w:tcPr>
          <w:p w:rsidR="009E0583" w:rsidRDefault="009E0583" w:rsidP="000A4573"/>
          <w:p w:rsidR="000A4573" w:rsidRDefault="000A4573" w:rsidP="000A4573">
            <w:r w:rsidRPr="00DC330C">
              <w:t>9</w:t>
            </w:r>
          </w:p>
          <w:p w:rsidR="009E0583" w:rsidRPr="00DC330C" w:rsidRDefault="009E0583" w:rsidP="000A4573"/>
        </w:tc>
        <w:tc>
          <w:tcPr>
            <w:tcW w:w="2155" w:type="dxa"/>
          </w:tcPr>
          <w:p w:rsidR="009E0583" w:rsidRDefault="009E0583" w:rsidP="000A4573">
            <w:pPr>
              <w:rPr>
                <w:b/>
              </w:rPr>
            </w:pPr>
          </w:p>
          <w:p w:rsidR="000A4573" w:rsidRPr="00E57CD3" w:rsidRDefault="000A4573" w:rsidP="000A4573">
            <w:pPr>
              <w:rPr>
                <w:b/>
              </w:rPr>
            </w:pPr>
            <w:r w:rsidRPr="00E57CD3">
              <w:rPr>
                <w:b/>
              </w:rPr>
              <w:t>VOTACI</w:t>
            </w:r>
            <w:r w:rsidR="007E7674">
              <w:rPr>
                <w:b/>
              </w:rPr>
              <w:t>Ó</w:t>
            </w:r>
            <w:r w:rsidRPr="00E57CD3">
              <w:rPr>
                <w:b/>
              </w:rPr>
              <w:t xml:space="preserve">N </w:t>
            </w:r>
          </w:p>
        </w:tc>
        <w:tc>
          <w:tcPr>
            <w:tcW w:w="7345" w:type="dxa"/>
          </w:tcPr>
          <w:p w:rsidR="009E0583" w:rsidRDefault="009E0583" w:rsidP="000A4573">
            <w:pPr>
              <w:jc w:val="both"/>
              <w:rPr>
                <w:rFonts w:eastAsia="Times New Roman" w:cs="Times New Roman"/>
                <w:lang w:eastAsia="es-CL"/>
              </w:rPr>
            </w:pPr>
          </w:p>
          <w:p w:rsidR="000A4573" w:rsidRPr="00DC330C" w:rsidRDefault="007E7674" w:rsidP="000A4573">
            <w:pPr>
              <w:jc w:val="both"/>
              <w:rPr>
                <w:lang w:eastAsia="es-CL"/>
              </w:rPr>
            </w:pPr>
            <w:r>
              <w:rPr>
                <w:rFonts w:eastAsia="Times New Roman" w:cs="Times New Roman"/>
                <w:lang w:eastAsia="es-CL"/>
              </w:rPr>
              <w:t>M</w:t>
            </w:r>
            <w:r w:rsidRPr="00DC330C">
              <w:rPr>
                <w:rFonts w:eastAsia="Times New Roman" w:cs="Times New Roman"/>
                <w:lang w:eastAsia="es-CL"/>
              </w:rPr>
              <w:t>inoría</w:t>
            </w:r>
            <w:r>
              <w:rPr>
                <w:rFonts w:eastAsia="Times New Roman" w:cs="Times New Roman"/>
                <w:lang w:eastAsia="es-CL"/>
              </w:rPr>
              <w:t>:</w:t>
            </w:r>
            <w:r w:rsidRPr="00DC330C">
              <w:rPr>
                <w:rFonts w:eastAsia="Times New Roman" w:cs="Times New Roman"/>
                <w:lang w:eastAsia="es-CL"/>
              </w:rPr>
              <w:t xml:space="preserve"> </w:t>
            </w:r>
            <w:proofErr w:type="gramStart"/>
            <w:r w:rsidRPr="00DC330C">
              <w:rPr>
                <w:rFonts w:eastAsia="Times New Roman" w:cs="Times New Roman"/>
                <w:lang w:eastAsia="es-CL"/>
              </w:rPr>
              <w:t>Ministros</w:t>
            </w:r>
            <w:proofErr w:type="gramEnd"/>
            <w:r w:rsidRPr="00DC330C">
              <w:rPr>
                <w:rFonts w:eastAsia="Times New Roman" w:cs="Times New Roman"/>
                <w:lang w:eastAsia="es-CL"/>
              </w:rPr>
              <w:t xml:space="preserve"> Sra. </w:t>
            </w:r>
            <w:proofErr w:type="spellStart"/>
            <w:r w:rsidRPr="00DC330C">
              <w:rPr>
                <w:rFonts w:eastAsia="Times New Roman" w:cs="Times New Roman"/>
                <w:lang w:eastAsia="es-CL"/>
              </w:rPr>
              <w:t>Egnem</w:t>
            </w:r>
            <w:proofErr w:type="spellEnd"/>
            <w:r w:rsidRPr="00DC330C">
              <w:rPr>
                <w:rFonts w:eastAsia="Times New Roman" w:cs="Times New Roman"/>
                <w:lang w:eastAsia="es-CL"/>
              </w:rPr>
              <w:t xml:space="preserve"> </w:t>
            </w:r>
            <w:r>
              <w:rPr>
                <w:rFonts w:eastAsia="Times New Roman" w:cs="Times New Roman"/>
                <w:lang w:eastAsia="es-CL"/>
              </w:rPr>
              <w:t>y</w:t>
            </w:r>
            <w:r w:rsidRPr="00DC330C">
              <w:rPr>
                <w:rFonts w:eastAsia="Times New Roman" w:cs="Times New Roman"/>
                <w:lang w:eastAsia="es-CL"/>
              </w:rPr>
              <w:t xml:space="preserve"> Sr. Prado</w:t>
            </w:r>
          </w:p>
        </w:tc>
      </w:tr>
      <w:tr w:rsidR="000A4573" w:rsidRPr="00DC330C" w:rsidTr="002C00F8">
        <w:trPr>
          <w:trHeight w:val="2239"/>
        </w:trPr>
        <w:tc>
          <w:tcPr>
            <w:tcW w:w="823" w:type="dxa"/>
          </w:tcPr>
          <w:p w:rsidR="009E0583" w:rsidRDefault="009E0583" w:rsidP="000A4573"/>
          <w:p w:rsidR="00D73258" w:rsidRDefault="00D73258" w:rsidP="000A4573"/>
          <w:p w:rsidR="00D73258" w:rsidRDefault="00D73258" w:rsidP="000A4573"/>
          <w:p w:rsidR="00D73258" w:rsidRDefault="00D73258" w:rsidP="000A4573"/>
          <w:p w:rsidR="000A4573" w:rsidRPr="00DC330C" w:rsidRDefault="000A4573" w:rsidP="000A4573">
            <w:r w:rsidRPr="00DC330C">
              <w:t>10</w:t>
            </w:r>
          </w:p>
        </w:tc>
        <w:tc>
          <w:tcPr>
            <w:tcW w:w="2155" w:type="dxa"/>
          </w:tcPr>
          <w:p w:rsidR="009E0583" w:rsidRDefault="009E0583" w:rsidP="000A4573">
            <w:pPr>
              <w:rPr>
                <w:b/>
              </w:rPr>
            </w:pPr>
          </w:p>
          <w:p w:rsidR="00D73258" w:rsidRDefault="00D73258" w:rsidP="000A4573">
            <w:pPr>
              <w:rPr>
                <w:b/>
              </w:rPr>
            </w:pPr>
          </w:p>
          <w:p w:rsidR="00D73258" w:rsidRDefault="00D73258" w:rsidP="000A4573">
            <w:pPr>
              <w:rPr>
                <w:b/>
              </w:rPr>
            </w:pPr>
          </w:p>
          <w:p w:rsidR="00D73258" w:rsidRDefault="00D73258" w:rsidP="000A4573">
            <w:pPr>
              <w:rPr>
                <w:b/>
              </w:rPr>
            </w:pPr>
          </w:p>
          <w:p w:rsidR="000A4573" w:rsidRPr="00E57CD3" w:rsidRDefault="000A4573" w:rsidP="000A4573">
            <w:pPr>
              <w:rPr>
                <w:b/>
              </w:rPr>
            </w:pPr>
            <w:r w:rsidRPr="00E57CD3">
              <w:rPr>
                <w:b/>
              </w:rPr>
              <w:t>CONSIDERANDOS RELEVANTES</w:t>
            </w:r>
          </w:p>
        </w:tc>
        <w:tc>
          <w:tcPr>
            <w:tcW w:w="7345" w:type="dxa"/>
          </w:tcPr>
          <w:p w:rsidR="009E0583" w:rsidRDefault="009E0583" w:rsidP="000A4573">
            <w:pPr>
              <w:jc w:val="both"/>
              <w:rPr>
                <w:b/>
                <w:lang w:eastAsia="es-CL"/>
              </w:rPr>
            </w:pPr>
          </w:p>
          <w:p w:rsidR="00DC330C" w:rsidRDefault="00DC330C" w:rsidP="000A4573">
            <w:pPr>
              <w:jc w:val="both"/>
              <w:rPr>
                <w:lang w:eastAsia="es-CL"/>
              </w:rPr>
            </w:pPr>
            <w:r w:rsidRPr="00707CAE">
              <w:rPr>
                <w:b/>
                <w:lang w:eastAsia="es-CL"/>
              </w:rPr>
              <w:t>16</w:t>
            </w:r>
            <w:r w:rsidR="007E7674">
              <w:rPr>
                <w:b/>
                <w:lang w:eastAsia="es-CL"/>
              </w:rPr>
              <w:t xml:space="preserve">º - </w:t>
            </w:r>
            <w:r w:rsidR="007E7674">
              <w:rPr>
                <w:lang w:eastAsia="es-CL"/>
              </w:rPr>
              <w:t>La d</w:t>
            </w:r>
            <w:r w:rsidR="007E7674" w:rsidRPr="00DC330C">
              <w:rPr>
                <w:lang w:eastAsia="es-CL"/>
              </w:rPr>
              <w:t>eclaración de inaplicabilidad</w:t>
            </w:r>
            <w:r w:rsidR="00DB2450">
              <w:rPr>
                <w:lang w:eastAsia="es-CL"/>
              </w:rPr>
              <w:t xml:space="preserve"> del</w:t>
            </w:r>
            <w:r w:rsidR="007E7674" w:rsidRPr="00DC330C">
              <w:rPr>
                <w:lang w:eastAsia="es-CL"/>
              </w:rPr>
              <w:t xml:space="preserve"> régimen sancionatorio </w:t>
            </w:r>
            <w:r w:rsidR="007E7674">
              <w:rPr>
                <w:lang w:eastAsia="es-CL"/>
              </w:rPr>
              <w:t>de la L</w:t>
            </w:r>
            <w:r w:rsidR="007E7674" w:rsidRPr="00DC330C">
              <w:rPr>
                <w:lang w:eastAsia="es-CL"/>
              </w:rPr>
              <w:t>ey</w:t>
            </w:r>
            <w:r w:rsidR="007E7674">
              <w:rPr>
                <w:lang w:eastAsia="es-CL"/>
              </w:rPr>
              <w:t xml:space="preserve"> </w:t>
            </w:r>
            <w:proofErr w:type="spellStart"/>
            <w:r w:rsidR="007E7674">
              <w:rPr>
                <w:lang w:eastAsia="es-CL"/>
              </w:rPr>
              <w:t>Nº</w:t>
            </w:r>
            <w:proofErr w:type="spellEnd"/>
            <w:r w:rsidR="007E7674" w:rsidRPr="00DC330C">
              <w:rPr>
                <w:lang w:eastAsia="es-CL"/>
              </w:rPr>
              <w:t xml:space="preserve"> 20.473 implica </w:t>
            </w:r>
            <w:r w:rsidR="007E7674">
              <w:rPr>
                <w:lang w:eastAsia="es-CL"/>
              </w:rPr>
              <w:t>vigencia</w:t>
            </w:r>
            <w:r w:rsidR="006D5BCB">
              <w:rPr>
                <w:lang w:eastAsia="es-CL"/>
              </w:rPr>
              <w:t xml:space="preserve"> </w:t>
            </w:r>
            <w:r w:rsidR="007E7674">
              <w:rPr>
                <w:lang w:eastAsia="es-CL"/>
              </w:rPr>
              <w:t>de</w:t>
            </w:r>
            <w:r w:rsidR="007E7674" w:rsidRPr="00DC330C">
              <w:rPr>
                <w:lang w:eastAsia="es-CL"/>
              </w:rPr>
              <w:t xml:space="preserve"> aquel contemplado</w:t>
            </w:r>
            <w:r w:rsidR="007E7674">
              <w:rPr>
                <w:lang w:eastAsia="es-CL"/>
              </w:rPr>
              <w:t xml:space="preserve"> en redacción anterior de</w:t>
            </w:r>
            <w:r w:rsidR="00D73258">
              <w:rPr>
                <w:lang w:eastAsia="es-CL"/>
              </w:rPr>
              <w:t>l</w:t>
            </w:r>
            <w:r w:rsidR="007E7674">
              <w:rPr>
                <w:lang w:eastAsia="es-CL"/>
              </w:rPr>
              <w:t xml:space="preserve"> artículo 64</w:t>
            </w:r>
            <w:r w:rsidR="00D73258">
              <w:rPr>
                <w:lang w:eastAsia="es-CL"/>
              </w:rPr>
              <w:t xml:space="preserve"> de la</w:t>
            </w:r>
            <w:r w:rsidR="007E7674">
              <w:rPr>
                <w:lang w:eastAsia="es-CL"/>
              </w:rPr>
              <w:t xml:space="preserve"> Ley </w:t>
            </w:r>
            <w:proofErr w:type="spellStart"/>
            <w:r w:rsidR="007E7674">
              <w:rPr>
                <w:lang w:eastAsia="es-CL"/>
              </w:rPr>
              <w:t>Nº</w:t>
            </w:r>
            <w:proofErr w:type="spellEnd"/>
            <w:r w:rsidRPr="00DC330C">
              <w:rPr>
                <w:lang w:eastAsia="es-CL"/>
              </w:rPr>
              <w:t xml:space="preserve"> 19</w:t>
            </w:r>
            <w:r w:rsidR="007E7674">
              <w:rPr>
                <w:lang w:eastAsia="es-CL"/>
              </w:rPr>
              <w:t>.</w:t>
            </w:r>
            <w:r w:rsidRPr="00DC330C">
              <w:rPr>
                <w:lang w:eastAsia="es-CL"/>
              </w:rPr>
              <w:t>300</w:t>
            </w:r>
            <w:r w:rsidR="00D73258">
              <w:rPr>
                <w:lang w:eastAsia="es-CL"/>
              </w:rPr>
              <w:t>.</w:t>
            </w:r>
          </w:p>
          <w:p w:rsidR="00DC330C" w:rsidRDefault="00DC330C" w:rsidP="000A4573">
            <w:pPr>
              <w:jc w:val="both"/>
              <w:rPr>
                <w:lang w:eastAsia="es-CL"/>
              </w:rPr>
            </w:pPr>
            <w:r w:rsidRPr="00707CAE">
              <w:rPr>
                <w:b/>
                <w:lang w:eastAsia="es-CL"/>
              </w:rPr>
              <w:t>17</w:t>
            </w:r>
            <w:r w:rsidR="007E7674">
              <w:rPr>
                <w:b/>
                <w:lang w:eastAsia="es-CL"/>
              </w:rPr>
              <w:t xml:space="preserve">º - </w:t>
            </w:r>
            <w:r w:rsidR="007E7674" w:rsidRPr="007E7674">
              <w:rPr>
                <w:lang w:eastAsia="es-CL"/>
              </w:rPr>
              <w:t>E</w:t>
            </w:r>
            <w:r w:rsidR="007E7674" w:rsidRPr="00DC330C">
              <w:rPr>
                <w:lang w:eastAsia="es-CL"/>
              </w:rPr>
              <w:t>n ning</w:t>
            </w:r>
            <w:r w:rsidR="007E7674">
              <w:rPr>
                <w:lang w:eastAsia="es-CL"/>
              </w:rPr>
              <w:t>ú</w:t>
            </w:r>
            <w:r w:rsidR="007E7674" w:rsidRPr="00DC330C">
              <w:rPr>
                <w:lang w:eastAsia="es-CL"/>
              </w:rPr>
              <w:t xml:space="preserve">n caso </w:t>
            </w:r>
            <w:r w:rsidR="006D5BCB" w:rsidRPr="00DC330C">
              <w:rPr>
                <w:lang w:eastAsia="es-CL"/>
              </w:rPr>
              <w:t>declaración</w:t>
            </w:r>
            <w:r w:rsidR="007E7674" w:rsidRPr="00DC330C">
              <w:rPr>
                <w:lang w:eastAsia="es-CL"/>
              </w:rPr>
              <w:t xml:space="preserve"> de inaplicabilidad de r</w:t>
            </w:r>
            <w:r w:rsidR="007E7674">
              <w:rPr>
                <w:lang w:eastAsia="es-CL"/>
              </w:rPr>
              <w:t>é</w:t>
            </w:r>
            <w:r w:rsidR="007E7674" w:rsidRPr="00DC330C">
              <w:rPr>
                <w:lang w:eastAsia="es-CL"/>
              </w:rPr>
              <w:t>gimen sancionatorio en materia ambiental puede conducir a la impunidad de faltas</w:t>
            </w:r>
            <w:r w:rsidR="00D73258">
              <w:rPr>
                <w:lang w:eastAsia="es-CL"/>
              </w:rPr>
              <w:t>.</w:t>
            </w:r>
          </w:p>
          <w:p w:rsidR="00DC330C" w:rsidRDefault="00DC330C" w:rsidP="000A4573">
            <w:pPr>
              <w:jc w:val="both"/>
              <w:rPr>
                <w:lang w:eastAsia="es-CL"/>
              </w:rPr>
            </w:pPr>
            <w:r w:rsidRPr="00707CAE">
              <w:rPr>
                <w:b/>
                <w:lang w:eastAsia="es-CL"/>
              </w:rPr>
              <w:t>18</w:t>
            </w:r>
            <w:r w:rsidR="007E7674">
              <w:rPr>
                <w:b/>
                <w:lang w:eastAsia="es-CL"/>
              </w:rPr>
              <w:t xml:space="preserve">º - </w:t>
            </w:r>
            <w:r w:rsidR="007E7674" w:rsidRPr="007E7674">
              <w:rPr>
                <w:lang w:eastAsia="es-CL"/>
              </w:rPr>
              <w:t>Si</w:t>
            </w:r>
            <w:r w:rsidR="007E7674">
              <w:rPr>
                <w:lang w:eastAsia="es-CL"/>
              </w:rPr>
              <w:t xml:space="preserve"> en una resolución de calificación ambiental anterior a vigencia</w:t>
            </w:r>
            <w:r w:rsidR="009E0583">
              <w:rPr>
                <w:lang w:eastAsia="es-CL"/>
              </w:rPr>
              <w:t xml:space="preserve"> de la</w:t>
            </w:r>
            <w:r w:rsidR="007E7674">
              <w:rPr>
                <w:lang w:eastAsia="es-CL"/>
              </w:rPr>
              <w:t xml:space="preserve"> Ley </w:t>
            </w:r>
            <w:proofErr w:type="spellStart"/>
            <w:r w:rsidR="007E7674">
              <w:rPr>
                <w:lang w:eastAsia="es-CL"/>
              </w:rPr>
              <w:t>Nº</w:t>
            </w:r>
            <w:proofErr w:type="spellEnd"/>
            <w:r w:rsidR="007E7674">
              <w:rPr>
                <w:lang w:eastAsia="es-CL"/>
              </w:rPr>
              <w:t xml:space="preserve"> 20.417,</w:t>
            </w:r>
            <w:r w:rsidR="008A382D">
              <w:rPr>
                <w:lang w:eastAsia="es-CL"/>
              </w:rPr>
              <w:t xml:space="preserve"> </w:t>
            </w:r>
            <w:r w:rsidR="007E7674">
              <w:rPr>
                <w:lang w:eastAsia="es-CL"/>
              </w:rPr>
              <w:t>existen</w:t>
            </w:r>
            <w:r w:rsidR="007E7674" w:rsidRPr="00DC330C">
              <w:rPr>
                <w:lang w:eastAsia="es-CL"/>
              </w:rPr>
              <w:t xml:space="preserve"> medidas y descripci</w:t>
            </w:r>
            <w:r w:rsidR="009E0583">
              <w:rPr>
                <w:lang w:eastAsia="es-CL"/>
              </w:rPr>
              <w:t>ó</w:t>
            </w:r>
            <w:r w:rsidR="007E7674" w:rsidRPr="00DC330C">
              <w:rPr>
                <w:lang w:eastAsia="es-CL"/>
              </w:rPr>
              <w:t xml:space="preserve">n de modalidades de </w:t>
            </w:r>
            <w:r w:rsidR="006D5BCB" w:rsidRPr="00DC330C">
              <w:rPr>
                <w:lang w:eastAsia="es-CL"/>
              </w:rPr>
              <w:t>ejecución</w:t>
            </w:r>
            <w:r w:rsidR="007E7674" w:rsidRPr="00DC330C">
              <w:rPr>
                <w:lang w:eastAsia="es-CL"/>
              </w:rPr>
              <w:t xml:space="preserve"> del proyecto</w:t>
            </w:r>
            <w:r>
              <w:rPr>
                <w:lang w:eastAsia="es-CL"/>
              </w:rPr>
              <w:t>,</w:t>
            </w:r>
            <w:r w:rsidR="007E7674" w:rsidRPr="00DC330C">
              <w:rPr>
                <w:lang w:eastAsia="es-CL"/>
              </w:rPr>
              <w:t xml:space="preserve"> su </w:t>
            </w:r>
            <w:r w:rsidR="006D5BCB" w:rsidRPr="00DC330C">
              <w:rPr>
                <w:lang w:eastAsia="es-CL"/>
              </w:rPr>
              <w:t>incumplimiento</w:t>
            </w:r>
            <w:r w:rsidR="007E7674" w:rsidRPr="00DC330C">
              <w:rPr>
                <w:lang w:eastAsia="es-CL"/>
              </w:rPr>
              <w:t xml:space="preserve"> genera peligro de </w:t>
            </w:r>
            <w:r w:rsidR="006D5BCB" w:rsidRPr="00DC330C">
              <w:rPr>
                <w:lang w:eastAsia="es-CL"/>
              </w:rPr>
              <w:t>afectación</w:t>
            </w:r>
            <w:r w:rsidR="007E7674" w:rsidRPr="00DC330C">
              <w:rPr>
                <w:lang w:eastAsia="es-CL"/>
              </w:rPr>
              <w:t xml:space="preserve"> al medio ambiente, </w:t>
            </w:r>
            <w:r w:rsidR="007E7674">
              <w:rPr>
                <w:lang w:eastAsia="es-CL"/>
              </w:rPr>
              <w:t>se trate de</w:t>
            </w:r>
            <w:r w:rsidR="009E0583">
              <w:rPr>
                <w:lang w:eastAsia="es-CL"/>
              </w:rPr>
              <w:t xml:space="preserve"> una</w:t>
            </w:r>
            <w:r w:rsidR="006D5BCB">
              <w:rPr>
                <w:lang w:eastAsia="es-CL"/>
              </w:rPr>
              <w:t xml:space="preserve"> </w:t>
            </w:r>
            <w:r w:rsidR="009E0583" w:rsidRPr="00DC330C">
              <w:rPr>
                <w:bCs/>
                <w:lang w:eastAsia="es-CL"/>
              </w:rPr>
              <w:t>declaración de impacto ambiental (DIA)</w:t>
            </w:r>
            <w:r w:rsidR="007E7674" w:rsidRPr="00DC330C">
              <w:rPr>
                <w:lang w:eastAsia="es-CL"/>
              </w:rPr>
              <w:t xml:space="preserve"> o</w:t>
            </w:r>
            <w:r w:rsidR="009E0583">
              <w:rPr>
                <w:lang w:eastAsia="es-CL"/>
              </w:rPr>
              <w:t xml:space="preserve"> de un estudio de impacto ambiental</w:t>
            </w:r>
            <w:r w:rsidR="008A382D">
              <w:rPr>
                <w:lang w:eastAsia="es-CL"/>
              </w:rPr>
              <w:t xml:space="preserve"> </w:t>
            </w:r>
            <w:r w:rsidR="009E0583">
              <w:rPr>
                <w:lang w:eastAsia="es-CL"/>
              </w:rPr>
              <w:t>(</w:t>
            </w:r>
            <w:r w:rsidR="009E0583" w:rsidRPr="00DC330C">
              <w:rPr>
                <w:lang w:eastAsia="es-CL"/>
              </w:rPr>
              <w:t>EIA</w:t>
            </w:r>
            <w:r w:rsidR="009E0583">
              <w:rPr>
                <w:lang w:eastAsia="es-CL"/>
              </w:rPr>
              <w:t>)</w:t>
            </w:r>
            <w:r w:rsidR="007E7674" w:rsidRPr="00DC330C">
              <w:rPr>
                <w:lang w:eastAsia="es-CL"/>
              </w:rPr>
              <w:t>, por aplicación de</w:t>
            </w:r>
            <w:r w:rsidR="00D73258">
              <w:rPr>
                <w:lang w:eastAsia="es-CL"/>
              </w:rPr>
              <w:t>l</w:t>
            </w:r>
            <w:r w:rsidR="007E7674" w:rsidRPr="00DC330C">
              <w:rPr>
                <w:lang w:eastAsia="es-CL"/>
              </w:rPr>
              <w:t xml:space="preserve"> principio preventivo. </w:t>
            </w:r>
          </w:p>
          <w:p w:rsidR="000A4573" w:rsidRPr="00DC330C" w:rsidRDefault="00DC330C" w:rsidP="008A382D">
            <w:pPr>
              <w:jc w:val="both"/>
              <w:rPr>
                <w:lang w:eastAsia="es-CL"/>
              </w:rPr>
            </w:pPr>
            <w:r w:rsidRPr="00707CAE">
              <w:rPr>
                <w:b/>
                <w:lang w:eastAsia="es-CL"/>
              </w:rPr>
              <w:t>4</w:t>
            </w:r>
            <w:r w:rsidR="007E7674">
              <w:rPr>
                <w:b/>
                <w:lang w:eastAsia="es-CL"/>
              </w:rPr>
              <w:t xml:space="preserve">º y </w:t>
            </w:r>
            <w:r w:rsidRPr="007E7674">
              <w:rPr>
                <w:b/>
                <w:lang w:eastAsia="es-CL"/>
              </w:rPr>
              <w:t>5</w:t>
            </w:r>
            <w:r w:rsidR="007E7674" w:rsidRPr="007E7674">
              <w:rPr>
                <w:b/>
                <w:lang w:eastAsia="es-CL"/>
              </w:rPr>
              <w:t>º</w:t>
            </w:r>
            <w:r w:rsidRPr="007E7674">
              <w:rPr>
                <w:b/>
                <w:lang w:eastAsia="es-CL"/>
              </w:rPr>
              <w:t xml:space="preserve"> (SENT. REEMPLAZO)</w:t>
            </w:r>
            <w:r w:rsidR="007E7674">
              <w:rPr>
                <w:b/>
                <w:lang w:eastAsia="es-CL"/>
              </w:rPr>
              <w:t xml:space="preserve"> - </w:t>
            </w:r>
            <w:r w:rsidR="008A382D">
              <w:rPr>
                <w:lang w:eastAsia="es-CL"/>
              </w:rPr>
              <w:t>E</w:t>
            </w:r>
            <w:r w:rsidR="009E0583" w:rsidRPr="00DC330C">
              <w:rPr>
                <w:lang w:eastAsia="es-CL"/>
              </w:rPr>
              <w:t xml:space="preserve">xistiendo pluralidad de </w:t>
            </w:r>
            <w:r w:rsidR="009E0583">
              <w:rPr>
                <w:lang w:eastAsia="es-CL"/>
              </w:rPr>
              <w:t>infracciones y expresión “multa</w:t>
            </w:r>
            <w:r w:rsidRPr="00DC330C">
              <w:rPr>
                <w:lang w:eastAsia="es-CL"/>
              </w:rPr>
              <w:t xml:space="preserve">” </w:t>
            </w:r>
            <w:r w:rsidR="009E0583">
              <w:rPr>
                <w:lang w:eastAsia="es-CL"/>
              </w:rPr>
              <w:t>en plural</w:t>
            </w:r>
            <w:r w:rsidR="009E0583" w:rsidRPr="00DC330C">
              <w:rPr>
                <w:lang w:eastAsia="es-CL"/>
              </w:rPr>
              <w:t xml:space="preserve"> se aplica, alternativamente, sanción de la misma clase por cada infracción o bien, una sola por todas ellas, no pudiendo exceder en ninguno de estos casos</w:t>
            </w:r>
            <w:r w:rsidR="00D73258">
              <w:rPr>
                <w:lang w:eastAsia="es-CL"/>
              </w:rPr>
              <w:t xml:space="preserve"> el</w:t>
            </w:r>
            <w:r w:rsidR="009E0583" w:rsidRPr="00DC330C">
              <w:rPr>
                <w:lang w:eastAsia="es-CL"/>
              </w:rPr>
              <w:t xml:space="preserve"> quantum máximo establecido</w:t>
            </w:r>
            <w:r w:rsidR="009E0583">
              <w:rPr>
                <w:lang w:eastAsia="es-CL"/>
              </w:rPr>
              <w:t xml:space="preserve"> por legislador.</w:t>
            </w:r>
          </w:p>
        </w:tc>
      </w:tr>
      <w:tr w:rsidR="002C00F8" w:rsidRPr="00DC330C" w:rsidTr="002C00F8">
        <w:trPr>
          <w:trHeight w:val="2239"/>
        </w:trPr>
        <w:tc>
          <w:tcPr>
            <w:tcW w:w="823" w:type="dxa"/>
          </w:tcPr>
          <w:p w:rsidR="002C00F8" w:rsidRDefault="002C00F8" w:rsidP="00A80F27"/>
          <w:p w:rsidR="002C00F8" w:rsidRDefault="002C00F8" w:rsidP="00A80F27"/>
          <w:p w:rsidR="002C00F8" w:rsidRDefault="002C00F8" w:rsidP="00A80F27"/>
          <w:p w:rsidR="002C00F8" w:rsidRDefault="002C00F8" w:rsidP="00A80F27"/>
          <w:p w:rsidR="002C00F8" w:rsidRDefault="002C00F8" w:rsidP="00A80F27"/>
          <w:p w:rsidR="002C00F8" w:rsidRDefault="002C00F8" w:rsidP="00A80F27"/>
          <w:p w:rsidR="002C00F8" w:rsidRDefault="002C00F8" w:rsidP="00A80F27"/>
          <w:p w:rsidR="002C00F8" w:rsidRDefault="002C00F8" w:rsidP="00A80F27"/>
          <w:p w:rsidR="002C00F8" w:rsidRDefault="002C00F8" w:rsidP="00A80F27"/>
          <w:p w:rsidR="002C00F8" w:rsidRDefault="002C00F8" w:rsidP="00A80F27"/>
          <w:p w:rsidR="002C00F8" w:rsidRDefault="002C00F8" w:rsidP="00A80F27"/>
          <w:p w:rsidR="002C00F8" w:rsidRDefault="002C00F8" w:rsidP="00A80F27"/>
          <w:p w:rsidR="002C00F8" w:rsidRDefault="002C00F8" w:rsidP="00A80F27"/>
          <w:p w:rsidR="002C00F8" w:rsidRDefault="002C00F8" w:rsidP="00A80F27"/>
          <w:p w:rsidR="002C00F8" w:rsidRDefault="002C00F8" w:rsidP="00A80F27"/>
          <w:p w:rsidR="002C00F8" w:rsidRDefault="002C00F8" w:rsidP="00A80F27"/>
          <w:p w:rsidR="002C00F8" w:rsidRDefault="002C00F8" w:rsidP="00A80F27"/>
          <w:p w:rsidR="002C00F8" w:rsidRPr="00DC330C" w:rsidRDefault="002C00F8" w:rsidP="002C00F8">
            <w:r w:rsidRPr="00DC330C">
              <w:t>1</w:t>
            </w:r>
            <w:r>
              <w:t>1</w:t>
            </w:r>
          </w:p>
        </w:tc>
        <w:tc>
          <w:tcPr>
            <w:tcW w:w="2155" w:type="dxa"/>
          </w:tcPr>
          <w:p w:rsidR="002C00F8" w:rsidRDefault="002C00F8" w:rsidP="00A80F27">
            <w:pPr>
              <w:rPr>
                <w:b/>
              </w:rPr>
            </w:pPr>
          </w:p>
          <w:p w:rsidR="002C00F8" w:rsidRDefault="002C00F8" w:rsidP="00A80F27">
            <w:pPr>
              <w:rPr>
                <w:b/>
              </w:rPr>
            </w:pPr>
          </w:p>
          <w:p w:rsidR="002C00F8" w:rsidRDefault="002C00F8" w:rsidP="00A80F27">
            <w:pPr>
              <w:rPr>
                <w:b/>
              </w:rPr>
            </w:pPr>
          </w:p>
          <w:p w:rsidR="002C00F8" w:rsidRDefault="002C00F8" w:rsidP="00A80F27">
            <w:pPr>
              <w:rPr>
                <w:b/>
              </w:rPr>
            </w:pPr>
          </w:p>
          <w:p w:rsidR="002C00F8" w:rsidRDefault="002C00F8" w:rsidP="00A80F27">
            <w:pPr>
              <w:rPr>
                <w:b/>
              </w:rPr>
            </w:pPr>
          </w:p>
          <w:p w:rsidR="002C00F8" w:rsidRDefault="002C00F8" w:rsidP="00A80F27">
            <w:pPr>
              <w:rPr>
                <w:b/>
              </w:rPr>
            </w:pPr>
          </w:p>
          <w:p w:rsidR="002C00F8" w:rsidRDefault="002C00F8" w:rsidP="00A80F27">
            <w:pPr>
              <w:rPr>
                <w:b/>
              </w:rPr>
            </w:pPr>
          </w:p>
          <w:p w:rsidR="002C00F8" w:rsidRDefault="002C00F8" w:rsidP="00A80F27">
            <w:pPr>
              <w:rPr>
                <w:b/>
              </w:rPr>
            </w:pPr>
          </w:p>
          <w:p w:rsidR="002C00F8" w:rsidRDefault="002C00F8" w:rsidP="00A80F27">
            <w:pPr>
              <w:rPr>
                <w:b/>
              </w:rPr>
            </w:pPr>
          </w:p>
          <w:p w:rsidR="002C00F8" w:rsidRDefault="002C00F8" w:rsidP="00A80F27">
            <w:pPr>
              <w:rPr>
                <w:b/>
              </w:rPr>
            </w:pPr>
          </w:p>
          <w:p w:rsidR="002C00F8" w:rsidRDefault="002C00F8" w:rsidP="00A80F27">
            <w:pPr>
              <w:rPr>
                <w:b/>
              </w:rPr>
            </w:pPr>
          </w:p>
          <w:p w:rsidR="002C00F8" w:rsidRDefault="002C00F8" w:rsidP="00A80F27">
            <w:pPr>
              <w:rPr>
                <w:b/>
              </w:rPr>
            </w:pPr>
          </w:p>
          <w:p w:rsidR="002C00F8" w:rsidRDefault="002C00F8" w:rsidP="00A80F27">
            <w:pPr>
              <w:rPr>
                <w:b/>
              </w:rPr>
            </w:pPr>
          </w:p>
          <w:p w:rsidR="002C00F8" w:rsidRDefault="002C00F8" w:rsidP="00A80F27">
            <w:pPr>
              <w:rPr>
                <w:b/>
              </w:rPr>
            </w:pPr>
          </w:p>
          <w:p w:rsidR="002C00F8" w:rsidRDefault="002C00F8" w:rsidP="00A80F27">
            <w:pPr>
              <w:rPr>
                <w:b/>
              </w:rPr>
            </w:pPr>
          </w:p>
          <w:p w:rsidR="002C00F8" w:rsidRDefault="002C00F8" w:rsidP="00A80F27">
            <w:pPr>
              <w:rPr>
                <w:b/>
              </w:rPr>
            </w:pPr>
          </w:p>
          <w:p w:rsidR="002C00F8" w:rsidRDefault="002C00F8" w:rsidP="00A80F27">
            <w:pPr>
              <w:rPr>
                <w:b/>
              </w:rPr>
            </w:pPr>
          </w:p>
          <w:p w:rsidR="002C00F8" w:rsidRPr="00E57CD3" w:rsidRDefault="002C00F8" w:rsidP="002C00F8">
            <w:pPr>
              <w:jc w:val="both"/>
              <w:rPr>
                <w:b/>
              </w:rPr>
            </w:pPr>
            <w:r>
              <w:rPr>
                <w:b/>
              </w:rPr>
              <w:t>COMENTARIO</w:t>
            </w:r>
          </w:p>
        </w:tc>
        <w:tc>
          <w:tcPr>
            <w:tcW w:w="7345" w:type="dxa"/>
          </w:tcPr>
          <w:p w:rsidR="002C00F8" w:rsidRDefault="002C00F8" w:rsidP="00A80F27">
            <w:pPr>
              <w:jc w:val="both"/>
              <w:rPr>
                <w:b/>
                <w:lang w:eastAsia="es-CL"/>
              </w:rPr>
            </w:pPr>
          </w:p>
          <w:p w:rsidR="002C00F8" w:rsidRPr="002C00F8" w:rsidRDefault="002C00F8" w:rsidP="002C00F8">
            <w:pPr>
              <w:jc w:val="both"/>
              <w:rPr>
                <w:lang w:eastAsia="es-CL"/>
              </w:rPr>
            </w:pPr>
            <w:r w:rsidRPr="002C00F8">
              <w:rPr>
                <w:lang w:eastAsia="es-CL"/>
              </w:rPr>
              <w:t xml:space="preserve">Existe un hilo conductor en toda la decisión del máximo tribunal: evitar a toda costa cualquier interpretación que conduzcan a una impunidad que ponga en peligro la afectación del medio ambiente. Ante ello, el contexto que enfrenta la Corte Suprema es una empresa con largo historial de incumplimiento, pero que ha logrado obtener una declaración de inaplicabilidad del inciso primero del artículo único de la Ley </w:t>
            </w:r>
            <w:proofErr w:type="spellStart"/>
            <w:r w:rsidRPr="002C00F8">
              <w:rPr>
                <w:lang w:eastAsia="es-CL"/>
              </w:rPr>
              <w:t>Nº</w:t>
            </w:r>
            <w:proofErr w:type="spellEnd"/>
            <w:r w:rsidRPr="002C00F8">
              <w:rPr>
                <w:lang w:eastAsia="es-CL"/>
              </w:rPr>
              <w:t xml:space="preserve"> 20.473, que daba sustentabilidad a la sanción administrativa de multa que aplicó la Comisión de Evaluación Ambiental y que es objeto de la controversia. </w:t>
            </w:r>
          </w:p>
          <w:p w:rsidR="002C00F8" w:rsidRPr="002C00F8" w:rsidRDefault="002C00F8" w:rsidP="002C00F8">
            <w:pPr>
              <w:jc w:val="both"/>
              <w:rPr>
                <w:lang w:eastAsia="es-CL"/>
              </w:rPr>
            </w:pPr>
            <w:r w:rsidRPr="002C00F8">
              <w:rPr>
                <w:lang w:eastAsia="es-CL"/>
              </w:rPr>
              <w:t xml:space="preserve">Para salvar dicha dificultad, desarrolla primeramente su tesis, ya probada, de supervivencia o </w:t>
            </w:r>
            <w:proofErr w:type="spellStart"/>
            <w:r w:rsidRPr="002C00F8">
              <w:rPr>
                <w:lang w:eastAsia="es-CL"/>
              </w:rPr>
              <w:t>ultractividad</w:t>
            </w:r>
            <w:proofErr w:type="spellEnd"/>
            <w:r w:rsidRPr="002C00F8">
              <w:rPr>
                <w:lang w:eastAsia="es-CL"/>
              </w:rPr>
              <w:t xml:space="preserve"> del artículo 64 de la Ley </w:t>
            </w:r>
            <w:proofErr w:type="spellStart"/>
            <w:r w:rsidRPr="002C00F8">
              <w:rPr>
                <w:lang w:eastAsia="es-CL"/>
              </w:rPr>
              <w:t>Nº</w:t>
            </w:r>
            <w:proofErr w:type="spellEnd"/>
            <w:r w:rsidRPr="002C00F8">
              <w:rPr>
                <w:lang w:eastAsia="es-CL"/>
              </w:rPr>
              <w:t xml:space="preserve"> 19.300, pese a su sustitución por la Ley </w:t>
            </w:r>
            <w:proofErr w:type="spellStart"/>
            <w:r w:rsidRPr="002C00F8">
              <w:rPr>
                <w:lang w:eastAsia="es-CL"/>
              </w:rPr>
              <w:t>Nº</w:t>
            </w:r>
            <w:proofErr w:type="spellEnd"/>
            <w:r w:rsidRPr="002C00F8">
              <w:rPr>
                <w:lang w:eastAsia="es-CL"/>
              </w:rPr>
              <w:t xml:space="preserve"> 20.417, lo que permite llenar, en gran parte, el vacío que deja tal inaplicabilidad, puesto que el mentado artículo 64 contempla una potestad fiscalizadora, en manos de los servicios públicos con competencia ambiental, un régimen sancionatorio y una atribución de competencia para la potestad sancionatoria. Sin embargo, ese llenado no resulta completo, pues el órgano al que se había atribuido dicha competencia (COREMA) ya se había extinguido definitivamente a la fecha en que se formularon los cargos al recurrente.</w:t>
            </w:r>
          </w:p>
          <w:p w:rsidR="002C00F8" w:rsidRPr="002C00F8" w:rsidRDefault="002C00F8" w:rsidP="002C00F8">
            <w:pPr>
              <w:jc w:val="both"/>
              <w:rPr>
                <w:lang w:eastAsia="es-CL"/>
              </w:rPr>
            </w:pPr>
            <w:r w:rsidRPr="002C00F8">
              <w:rPr>
                <w:lang w:eastAsia="es-CL"/>
              </w:rPr>
              <w:t xml:space="preserve">Si bien la discusión en el Tribunal Constitucional no giró precisamente sobre la competencia sancionatoria de esta Comisión de Evaluación, sino sobre la tipicidad de la infracción y la determinación de la sanción, la Corte Suprema no logra desarrollar una argumentación clara que permita enfrentarlas consecuencias de un entendimiento, en términos absolutos, de la inaplicabilidad, esto es, que haya abarcado todo el régimen sancionatorio de la Ley </w:t>
            </w:r>
            <w:proofErr w:type="spellStart"/>
            <w:r w:rsidRPr="002C00F8">
              <w:rPr>
                <w:lang w:eastAsia="es-CL"/>
              </w:rPr>
              <w:t>Nº</w:t>
            </w:r>
            <w:proofErr w:type="spellEnd"/>
            <w:r w:rsidRPr="002C00F8">
              <w:rPr>
                <w:lang w:eastAsia="es-CL"/>
              </w:rPr>
              <w:t xml:space="preserve"> 20.473. Frente a aquello, es interesante lo apuntado en el considerando 17º, parte final, donde reafirma una tesis material de justicia al sostener que la inaplicabilidad no puede llevar a la impunidad del incumplimiento de una declaración de impacto ambiental (DIA) y, acto seguido, recurre a un precedente anterior dictado por la misma Corte Suprema (Rol </w:t>
            </w:r>
            <w:proofErr w:type="spellStart"/>
            <w:r w:rsidRPr="002C00F8">
              <w:rPr>
                <w:lang w:eastAsia="es-CL"/>
              </w:rPr>
              <w:t>Nº</w:t>
            </w:r>
            <w:proofErr w:type="spellEnd"/>
            <w:r w:rsidRPr="002C00F8">
              <w:rPr>
                <w:lang w:eastAsia="es-CL"/>
              </w:rPr>
              <w:t xml:space="preserve"> 14432-2013)</w:t>
            </w:r>
            <w:r w:rsidR="007F4F32">
              <w:rPr>
                <w:rStyle w:val="Refdenotaalpie"/>
                <w:lang w:eastAsia="es-CL"/>
              </w:rPr>
              <w:footnoteReference w:id="1"/>
            </w:r>
            <w:r w:rsidRPr="002C00F8">
              <w:rPr>
                <w:lang w:eastAsia="es-CL"/>
              </w:rPr>
              <w:t xml:space="preserve">  en donde si observamos un poco más desarrollada esta tesis.</w:t>
            </w:r>
          </w:p>
          <w:p w:rsidR="002C00F8" w:rsidRPr="002C00F8" w:rsidRDefault="002C00F8" w:rsidP="002C00F8">
            <w:pPr>
              <w:jc w:val="both"/>
              <w:rPr>
                <w:lang w:eastAsia="es-CL"/>
              </w:rPr>
            </w:pPr>
            <w:r w:rsidRPr="002C00F8">
              <w:rPr>
                <w:lang w:eastAsia="es-CL"/>
              </w:rPr>
              <w:t xml:space="preserve">Sorteada la dificultad de la inaplicabilidad, también descarta el argumento reduccionista de la empresa </w:t>
            </w:r>
            <w:proofErr w:type="spellStart"/>
            <w:r w:rsidRPr="002C00F8">
              <w:rPr>
                <w:lang w:eastAsia="es-CL"/>
              </w:rPr>
              <w:t>Colhue</w:t>
            </w:r>
            <w:proofErr w:type="spellEnd"/>
            <w:r w:rsidRPr="002C00F8">
              <w:rPr>
                <w:lang w:eastAsia="es-CL"/>
              </w:rPr>
              <w:t xml:space="preserve">, que sostiene que en la resolución de calificación ambiental (RCA) de una declaración de impacto ambiental (DIA) solo es constitutivo de infracción el incumplimiento de la normativa ambiental y no la contravención de aquellas “condiciones de ejecución del proyecto” que constan en la misma RCA. El fallo, acertadamente, no atiende a la formalidad de la autorización (simple o condicional), sino al criterio finalista de la normativa ambiental, cual es prevenir (principio preventivo) la potencial ocurrencia de mayores impactos al medio ambiente y, en ese sentido, no resulta indiferente cualquier incumplimiento, pues en la forma y condiciones en que se aprobó un proyecto va implícita una evaluación de riesgo potencial de esos impactos. Por ello, el hecho </w:t>
            </w:r>
            <w:proofErr w:type="spellStart"/>
            <w:r w:rsidRPr="002C00F8">
              <w:rPr>
                <w:lang w:eastAsia="es-CL"/>
              </w:rPr>
              <w:t>infraccional</w:t>
            </w:r>
            <w:proofErr w:type="spellEnd"/>
            <w:r w:rsidRPr="002C00F8">
              <w:rPr>
                <w:lang w:eastAsia="es-CL"/>
              </w:rPr>
              <w:t xml:space="preserve"> en materia de cumplimiento de la RCA es naturalmente más amplio que el contenido en una certificación de cumplimiento, al tenor del artículo 24 de la Ley </w:t>
            </w:r>
            <w:proofErr w:type="spellStart"/>
            <w:r w:rsidRPr="002C00F8">
              <w:rPr>
                <w:lang w:eastAsia="es-CL"/>
              </w:rPr>
              <w:t>N°</w:t>
            </w:r>
            <w:proofErr w:type="spellEnd"/>
            <w:r w:rsidRPr="002C00F8">
              <w:rPr>
                <w:lang w:eastAsia="es-CL"/>
              </w:rPr>
              <w:t xml:space="preserve"> 19.300, pero ello no afecta el principio de tipicidad, pues el deber de conducta es plenamente conocido y aceptado por el titular, pues comprende la parte considerativa de dicha RCA, acto administrativo que aceptó en su momento. </w:t>
            </w:r>
          </w:p>
          <w:p w:rsidR="002C00F8" w:rsidRDefault="002C00F8" w:rsidP="002C00F8">
            <w:pPr>
              <w:jc w:val="both"/>
              <w:rPr>
                <w:lang w:eastAsia="es-CL"/>
              </w:rPr>
            </w:pPr>
            <w:r w:rsidRPr="002C00F8">
              <w:rPr>
                <w:lang w:eastAsia="es-CL"/>
              </w:rPr>
              <w:t>Finalmente, resulta cuestionable la tesis formalista, en la sentencia de reemplazo, relativa a la determinación del quantum de la multa cuando existe pluralidad de infracciones y el legislador ha empleado una fórmula plural en la expresión “multa”; ello por cuanto establece una opción para el órgano con potestad sancionatoria que puede llevar a la arbitrariedad e, incluso, a contravenir la garantía constitucional de la igualdad ante la ley. En efecto, en el contexto de dicha tesis formalista, si dentro de un mismo procedimiento administrativo puedo sancionar en forma independiente cada infracción hasta con el máximo de la multa y puedo, alternativamente a ello, aplicar una sola multa por todas las infracciones sin exceder, en dicho caso, del máximo de ella, se confiere jurisprudencialmente una facultad que no tiene sustento normativo y que, ante la ausencia de algún criterio o parámetro diferenciador de estas opciones, es una puerta</w:t>
            </w:r>
            <w:r w:rsidRPr="002C00F8">
              <w:rPr>
                <w:b/>
                <w:lang w:eastAsia="es-CL"/>
              </w:rPr>
              <w:t xml:space="preserve"> </w:t>
            </w:r>
            <w:r w:rsidR="006D5BCB">
              <w:rPr>
                <w:lang w:eastAsia="es-CL"/>
              </w:rPr>
              <w:t xml:space="preserve">abierta a la infracción al principio de </w:t>
            </w:r>
            <w:r w:rsidRPr="002C00F8">
              <w:rPr>
                <w:lang w:eastAsia="es-CL"/>
              </w:rPr>
              <w:t>proporcionalidad de la sanción y</w:t>
            </w:r>
            <w:r w:rsidR="006D5BCB">
              <w:rPr>
                <w:lang w:eastAsia="es-CL"/>
              </w:rPr>
              <w:t xml:space="preserve"> por ende a</w:t>
            </w:r>
            <w:r w:rsidRPr="002C00F8">
              <w:rPr>
                <w:lang w:eastAsia="es-CL"/>
              </w:rPr>
              <w:t xml:space="preserve"> la arbitraried</w:t>
            </w:r>
            <w:r>
              <w:rPr>
                <w:lang w:eastAsia="es-CL"/>
              </w:rPr>
              <w:t>ad administrativa</w:t>
            </w:r>
            <w:r w:rsidR="006D5BCB">
              <w:rPr>
                <w:lang w:eastAsia="es-CL"/>
              </w:rPr>
              <w:t>.</w:t>
            </w:r>
            <w:r w:rsidR="006D5BCB">
              <w:rPr>
                <w:rStyle w:val="Refdenotaalpie"/>
                <w:lang w:eastAsia="es-CL"/>
              </w:rPr>
              <w:footnoteReference w:id="2"/>
            </w:r>
          </w:p>
          <w:p w:rsidR="002C00F8" w:rsidRPr="00DC330C" w:rsidRDefault="002C00F8" w:rsidP="002C00F8">
            <w:pPr>
              <w:jc w:val="both"/>
              <w:rPr>
                <w:lang w:eastAsia="es-CL"/>
              </w:rPr>
            </w:pPr>
          </w:p>
        </w:tc>
      </w:tr>
      <w:bookmarkEnd w:id="0"/>
    </w:tbl>
    <w:p w:rsidR="007F2AB7" w:rsidRDefault="007F2AB7" w:rsidP="007F2AB7">
      <w:pPr>
        <w:rPr>
          <w:lang w:eastAsia="es-CL"/>
        </w:rPr>
      </w:pPr>
    </w:p>
    <w:sectPr w:rsidR="007F2AB7" w:rsidSect="002C00F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45D" w:rsidRDefault="0060345D" w:rsidP="006F6C9B">
      <w:pPr>
        <w:spacing w:after="0" w:line="240" w:lineRule="auto"/>
      </w:pPr>
      <w:r>
        <w:separator/>
      </w:r>
    </w:p>
  </w:endnote>
  <w:endnote w:type="continuationSeparator" w:id="0">
    <w:p w:rsidR="0060345D" w:rsidRDefault="0060345D" w:rsidP="006F6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45D" w:rsidRDefault="0060345D" w:rsidP="006F6C9B">
      <w:pPr>
        <w:spacing w:after="0" w:line="240" w:lineRule="auto"/>
      </w:pPr>
      <w:r>
        <w:separator/>
      </w:r>
    </w:p>
  </w:footnote>
  <w:footnote w:type="continuationSeparator" w:id="0">
    <w:p w:rsidR="0060345D" w:rsidRDefault="0060345D" w:rsidP="006F6C9B">
      <w:pPr>
        <w:spacing w:after="0" w:line="240" w:lineRule="auto"/>
      </w:pPr>
      <w:r>
        <w:continuationSeparator/>
      </w:r>
    </w:p>
  </w:footnote>
  <w:footnote w:id="1">
    <w:p w:rsidR="007F4F32" w:rsidRDefault="007F4F32">
      <w:pPr>
        <w:pStyle w:val="Textonotapie"/>
      </w:pPr>
      <w:r>
        <w:rPr>
          <w:rStyle w:val="Refdenotaalpie"/>
        </w:rPr>
        <w:footnoteRef/>
      </w:r>
      <w:r>
        <w:t xml:space="preserve"> </w:t>
      </w:r>
      <w:r w:rsidRPr="007F4F32">
        <w:t xml:space="preserve">En el considerando 10° de la sentencia de la C. Suprema, Rol </w:t>
      </w:r>
      <w:proofErr w:type="spellStart"/>
      <w:r w:rsidRPr="007F4F32">
        <w:t>N°</w:t>
      </w:r>
      <w:proofErr w:type="spellEnd"/>
      <w:r w:rsidRPr="007F4F32">
        <w:t xml:space="preserve"> 14.432-2013 queda clara la postura material de la Corte en la materia en que, luego de sostener una interpretación tendiente a la protección al medio ambiente y asentada en el principio rector de la responsabilidad, señala que: “</w:t>
      </w:r>
      <w:r w:rsidRPr="007F4F32">
        <w:rPr>
          <w:i/>
        </w:rPr>
        <w:t>no corresponde acoger por carecer de sustento en nuestro ordenamiento jurídico una interpretación que postula la existencia de un período en que no existió organismo alguno que fiscalizara el cumplimiento de las condiciones de la resolución que aprobó un estudio o aceptó una Declaración de Impacto Ambiental, punto de vista estrictamente focalizado en el interés particular del recurrente, sin tener en cuenta a la coherencia del sistema legal</w:t>
      </w:r>
      <w:r w:rsidRPr="007F4F32">
        <w:t>” .</w:t>
      </w:r>
    </w:p>
  </w:footnote>
  <w:footnote w:id="2">
    <w:p w:rsidR="006D5BCB" w:rsidRDefault="006D5BCB">
      <w:pPr>
        <w:pStyle w:val="Textonotapie"/>
      </w:pPr>
      <w:r>
        <w:rPr>
          <w:rStyle w:val="Refdenotaalpie"/>
        </w:rPr>
        <w:footnoteRef/>
      </w:r>
      <w:r>
        <w:t xml:space="preserve"> </w:t>
      </w:r>
      <w:r w:rsidRPr="006D5BCB">
        <w:t>Osorio, C. (201</w:t>
      </w:r>
      <w:r>
        <w:t>7</w:t>
      </w:r>
      <w:r w:rsidRPr="006D5BCB">
        <w:t>). Manual de Procedimiento Administrativo Sancionador. </w:t>
      </w:r>
      <w:r w:rsidRPr="006D5BCB">
        <w:rPr>
          <w:i/>
          <w:iCs/>
        </w:rPr>
        <w:t>Santiago, Editorial Thomson Reuters</w:t>
      </w:r>
      <w:r w:rsidRPr="006D5BCB">
        <w:t>.</w:t>
      </w:r>
      <w:r>
        <w:t xml:space="preserve"> p.89-93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33F96"/>
    <w:multiLevelType w:val="hybridMultilevel"/>
    <w:tmpl w:val="4DE2476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96A"/>
    <w:rsid w:val="00034660"/>
    <w:rsid w:val="0004496A"/>
    <w:rsid w:val="00075BF4"/>
    <w:rsid w:val="000856ED"/>
    <w:rsid w:val="000A4573"/>
    <w:rsid w:val="000F00B8"/>
    <w:rsid w:val="00143696"/>
    <w:rsid w:val="001E105C"/>
    <w:rsid w:val="002254D2"/>
    <w:rsid w:val="002271E5"/>
    <w:rsid w:val="00232740"/>
    <w:rsid w:val="002A69EA"/>
    <w:rsid w:val="002C00F8"/>
    <w:rsid w:val="002D712F"/>
    <w:rsid w:val="003425EA"/>
    <w:rsid w:val="003519DA"/>
    <w:rsid w:val="00363112"/>
    <w:rsid w:val="003E21B2"/>
    <w:rsid w:val="00430423"/>
    <w:rsid w:val="00483901"/>
    <w:rsid w:val="004A7777"/>
    <w:rsid w:val="004E666B"/>
    <w:rsid w:val="005A5175"/>
    <w:rsid w:val="0060345D"/>
    <w:rsid w:val="006173EA"/>
    <w:rsid w:val="006B4423"/>
    <w:rsid w:val="006D5BCB"/>
    <w:rsid w:val="006F6C9B"/>
    <w:rsid w:val="00707CAE"/>
    <w:rsid w:val="00716C3B"/>
    <w:rsid w:val="007E240B"/>
    <w:rsid w:val="007E7674"/>
    <w:rsid w:val="007F2AB7"/>
    <w:rsid w:val="007F4F32"/>
    <w:rsid w:val="008041AD"/>
    <w:rsid w:val="008A382D"/>
    <w:rsid w:val="008B5D33"/>
    <w:rsid w:val="008D0E9A"/>
    <w:rsid w:val="008E65A1"/>
    <w:rsid w:val="0092202D"/>
    <w:rsid w:val="009D3F88"/>
    <w:rsid w:val="009E0583"/>
    <w:rsid w:val="00A23610"/>
    <w:rsid w:val="00AB3303"/>
    <w:rsid w:val="00B636D6"/>
    <w:rsid w:val="00B713F8"/>
    <w:rsid w:val="00B955C1"/>
    <w:rsid w:val="00BE15A1"/>
    <w:rsid w:val="00BE387A"/>
    <w:rsid w:val="00C031CB"/>
    <w:rsid w:val="00C761E8"/>
    <w:rsid w:val="00CA016F"/>
    <w:rsid w:val="00CB5E52"/>
    <w:rsid w:val="00CC4961"/>
    <w:rsid w:val="00CE2C10"/>
    <w:rsid w:val="00D034DF"/>
    <w:rsid w:val="00D304F8"/>
    <w:rsid w:val="00D73258"/>
    <w:rsid w:val="00DB2450"/>
    <w:rsid w:val="00DC330C"/>
    <w:rsid w:val="00E11EB6"/>
    <w:rsid w:val="00E57CD3"/>
    <w:rsid w:val="00EA078C"/>
    <w:rsid w:val="00EA144B"/>
    <w:rsid w:val="00EB58C8"/>
    <w:rsid w:val="00EC120A"/>
    <w:rsid w:val="00EF1637"/>
    <w:rsid w:val="00F444AE"/>
    <w:rsid w:val="00F56A60"/>
    <w:rsid w:val="00F91762"/>
    <w:rsid w:val="00FE203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F3845-5D34-4B3D-99FC-B5CC8B19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F88"/>
  </w:style>
  <w:style w:type="paragraph" w:styleId="Ttulo3">
    <w:name w:val="heading 3"/>
    <w:basedOn w:val="Normal"/>
    <w:next w:val="Normal"/>
    <w:link w:val="Ttulo3Car"/>
    <w:uiPriority w:val="9"/>
    <w:unhideWhenUsed/>
    <w:qFormat/>
    <w:rsid w:val="009D3F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D3F88"/>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rsid w:val="009D3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F6C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6C9B"/>
    <w:rPr>
      <w:sz w:val="20"/>
      <w:szCs w:val="20"/>
    </w:rPr>
  </w:style>
  <w:style w:type="character" w:styleId="Refdenotaalpie">
    <w:name w:val="footnote reference"/>
    <w:basedOn w:val="Fuentedeprrafopredeter"/>
    <w:uiPriority w:val="99"/>
    <w:semiHidden/>
    <w:unhideWhenUsed/>
    <w:rsid w:val="006F6C9B"/>
    <w:rPr>
      <w:vertAlign w:val="superscript"/>
    </w:rPr>
  </w:style>
  <w:style w:type="paragraph" w:styleId="Prrafodelista">
    <w:name w:val="List Paragraph"/>
    <w:basedOn w:val="Normal"/>
    <w:uiPriority w:val="34"/>
    <w:qFormat/>
    <w:rsid w:val="000A4573"/>
    <w:pPr>
      <w:ind w:left="720"/>
      <w:contextualSpacing/>
    </w:pPr>
  </w:style>
  <w:style w:type="character" w:customStyle="1" w:styleId="Ninguno">
    <w:name w:val="Ninguno"/>
    <w:rsid w:val="008B5D33"/>
    <w:rPr>
      <w:lang w:val="es-ES_tradnl"/>
    </w:rPr>
  </w:style>
  <w:style w:type="paragraph" w:customStyle="1" w:styleId="Cuerpo">
    <w:name w:val="Cuerpo"/>
    <w:rsid w:val="008B5D3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D23C8-6209-42D3-93F0-74056B7F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6052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Subsecretaria de Transportes</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Stephan Orellana</dc:creator>
  <cp:lastModifiedBy>Cristóbal Osorio</cp:lastModifiedBy>
  <cp:revision>2</cp:revision>
  <dcterms:created xsi:type="dcterms:W3CDTF">2019-09-24T15:16:00Z</dcterms:created>
  <dcterms:modified xsi:type="dcterms:W3CDTF">2019-09-24T15:16:00Z</dcterms:modified>
</cp:coreProperties>
</file>